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B40C" w14:textId="0691A127" w:rsidR="00CC513A" w:rsidRPr="00C15237" w:rsidRDefault="00852A82" w:rsidP="00C15237">
      <w:pPr>
        <w:jc w:val="center"/>
        <w:rPr>
          <w:b/>
          <w:bCs/>
          <w:sz w:val="32"/>
          <w:szCs w:val="40"/>
        </w:rPr>
      </w:pPr>
      <w:r>
        <w:rPr>
          <w:b/>
          <w:bCs/>
          <w:sz w:val="32"/>
          <w:szCs w:val="40"/>
        </w:rPr>
        <w:t xml:space="preserve">C058 - </w:t>
      </w:r>
      <w:r w:rsidR="00E25EF8">
        <w:rPr>
          <w:b/>
          <w:bCs/>
          <w:sz w:val="32"/>
          <w:szCs w:val="40"/>
        </w:rPr>
        <w:t>EX-GRATIA (SPECIAL) PAYMENTS POLICY</w:t>
      </w:r>
    </w:p>
    <w:p w14:paraId="2185FD3D" w14:textId="77777777" w:rsidR="003941DB" w:rsidRPr="00C15237" w:rsidRDefault="003941DB" w:rsidP="00C15237">
      <w:pPr>
        <w:rPr>
          <w:b/>
          <w:bCs/>
        </w:rPr>
      </w:pPr>
    </w:p>
    <w:p w14:paraId="2C50CE93" w14:textId="77777777" w:rsidR="003941DB" w:rsidRPr="00C15237" w:rsidRDefault="0074567E" w:rsidP="00C15237">
      <w:pPr>
        <w:rPr>
          <w:b/>
          <w:bCs/>
          <w:sz w:val="28"/>
          <w:szCs w:val="28"/>
        </w:rPr>
      </w:pPr>
      <w:r w:rsidRPr="00C15237">
        <w:rPr>
          <w:b/>
          <w:bCs/>
          <w:sz w:val="28"/>
          <w:szCs w:val="28"/>
        </w:rPr>
        <w:t xml:space="preserve">POLICY VERSION AND REVISION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2338"/>
        <w:gridCol w:w="2339"/>
      </w:tblGrid>
      <w:tr w:rsidR="003941DB" w14:paraId="1A0B9C80" w14:textId="77777777" w:rsidTr="0074567E">
        <w:trPr>
          <w:trHeight w:val="232"/>
        </w:trPr>
        <w:tc>
          <w:tcPr>
            <w:tcW w:w="4395" w:type="dxa"/>
            <w:shd w:val="clear" w:color="auto" w:fill="E0E0E0"/>
            <w:vAlign w:val="center"/>
          </w:tcPr>
          <w:p w14:paraId="3311A6D5" w14:textId="77777777" w:rsidR="003941DB" w:rsidRDefault="0077391B" w:rsidP="00B57903">
            <w:pPr>
              <w:pStyle w:val="utstableheading"/>
              <w:spacing w:line="240" w:lineRule="auto"/>
            </w:pPr>
            <w:r>
              <w:t>Version History</w:t>
            </w:r>
            <w:r w:rsidR="003941DB">
              <w:t xml:space="preserve">  </w:t>
            </w:r>
          </w:p>
        </w:tc>
        <w:tc>
          <w:tcPr>
            <w:tcW w:w="4677" w:type="dxa"/>
            <w:gridSpan w:val="2"/>
            <w:shd w:val="clear" w:color="auto" w:fill="E0E0E0"/>
            <w:vAlign w:val="center"/>
          </w:tcPr>
          <w:p w14:paraId="473A1384" w14:textId="77777777" w:rsidR="003941DB" w:rsidRDefault="003941DB" w:rsidP="00B57903">
            <w:pPr>
              <w:pStyle w:val="utstableheading"/>
              <w:spacing w:line="240" w:lineRule="auto"/>
            </w:pPr>
            <w:r>
              <w:t>Meeting date</w:t>
            </w:r>
          </w:p>
        </w:tc>
      </w:tr>
      <w:tr w:rsidR="003941DB" w14:paraId="01FCE4E6" w14:textId="77777777" w:rsidTr="0074567E">
        <w:trPr>
          <w:trHeight w:val="232"/>
        </w:trPr>
        <w:tc>
          <w:tcPr>
            <w:tcW w:w="4395" w:type="dxa"/>
            <w:vMerge w:val="restart"/>
          </w:tcPr>
          <w:p w14:paraId="4A7FA368" w14:textId="77777777" w:rsidR="003941DB" w:rsidRDefault="003941DB" w:rsidP="00B57903">
            <w:pPr>
              <w:pStyle w:val="utstabletext"/>
              <w:spacing w:line="240" w:lineRule="auto"/>
            </w:pPr>
          </w:p>
        </w:tc>
        <w:tc>
          <w:tcPr>
            <w:tcW w:w="4677" w:type="dxa"/>
            <w:gridSpan w:val="2"/>
          </w:tcPr>
          <w:p w14:paraId="1DAC9C82" w14:textId="323CC676" w:rsidR="003941DB" w:rsidRDefault="00CF0F76" w:rsidP="00B57903">
            <w:pPr>
              <w:pStyle w:val="utstabletext"/>
              <w:spacing w:line="240" w:lineRule="auto"/>
            </w:pPr>
            <w:r>
              <w:t>19</w:t>
            </w:r>
            <w:r w:rsidRPr="00CF0F76">
              <w:rPr>
                <w:vertAlign w:val="superscript"/>
              </w:rPr>
              <w:t>th</w:t>
            </w:r>
            <w:r>
              <w:t xml:space="preserve"> March 2025</w:t>
            </w:r>
          </w:p>
        </w:tc>
      </w:tr>
      <w:tr w:rsidR="003941DB" w14:paraId="5DE0D3B2" w14:textId="77777777" w:rsidTr="0074567E">
        <w:trPr>
          <w:trHeight w:val="232"/>
        </w:trPr>
        <w:tc>
          <w:tcPr>
            <w:tcW w:w="4395" w:type="dxa"/>
            <w:vMerge/>
          </w:tcPr>
          <w:p w14:paraId="5DE5EB79" w14:textId="77777777" w:rsidR="003941DB" w:rsidRDefault="003941DB" w:rsidP="00B57903">
            <w:pPr>
              <w:pStyle w:val="utstableheading"/>
              <w:spacing w:line="240" w:lineRule="auto"/>
            </w:pPr>
          </w:p>
        </w:tc>
        <w:tc>
          <w:tcPr>
            <w:tcW w:w="4677" w:type="dxa"/>
            <w:gridSpan w:val="2"/>
            <w:shd w:val="clear" w:color="auto" w:fill="E0E0E0"/>
            <w:vAlign w:val="center"/>
          </w:tcPr>
          <w:p w14:paraId="58876955" w14:textId="77777777" w:rsidR="003941DB" w:rsidRDefault="003941DB" w:rsidP="00B57903">
            <w:pPr>
              <w:pStyle w:val="utstableheading"/>
              <w:spacing w:line="240" w:lineRule="auto"/>
            </w:pPr>
            <w:r>
              <w:t>Resolution number</w:t>
            </w:r>
          </w:p>
        </w:tc>
      </w:tr>
      <w:tr w:rsidR="003941DB" w14:paraId="3644E714" w14:textId="77777777" w:rsidTr="0074567E">
        <w:trPr>
          <w:trHeight w:val="232"/>
        </w:trPr>
        <w:tc>
          <w:tcPr>
            <w:tcW w:w="4395" w:type="dxa"/>
            <w:vMerge/>
          </w:tcPr>
          <w:p w14:paraId="15262A22" w14:textId="77777777" w:rsidR="003941DB" w:rsidRDefault="003941DB" w:rsidP="00B57903">
            <w:pPr>
              <w:pStyle w:val="utstableheading"/>
              <w:spacing w:line="240" w:lineRule="auto"/>
            </w:pPr>
          </w:p>
        </w:tc>
        <w:tc>
          <w:tcPr>
            <w:tcW w:w="4677" w:type="dxa"/>
            <w:gridSpan w:val="2"/>
          </w:tcPr>
          <w:p w14:paraId="742B255A" w14:textId="7FABDB2D" w:rsidR="003941DB" w:rsidRDefault="00852A82" w:rsidP="00B57903">
            <w:pPr>
              <w:pStyle w:val="utstabletext"/>
              <w:spacing w:line="240" w:lineRule="auto"/>
            </w:pPr>
            <w:r>
              <w:t>Resolution #25.03.06</w:t>
            </w:r>
          </w:p>
        </w:tc>
      </w:tr>
      <w:tr w:rsidR="003941DB" w14:paraId="6FD30EA3" w14:textId="77777777" w:rsidTr="0074567E">
        <w:trPr>
          <w:trHeight w:val="232"/>
        </w:trPr>
        <w:tc>
          <w:tcPr>
            <w:tcW w:w="4395" w:type="dxa"/>
          </w:tcPr>
          <w:p w14:paraId="0C61CE00" w14:textId="77777777" w:rsidR="003941DB" w:rsidRDefault="003941DB" w:rsidP="00B57903">
            <w:pPr>
              <w:pStyle w:val="utstableheading"/>
              <w:spacing w:line="240" w:lineRule="auto"/>
            </w:pPr>
            <w:r>
              <w:t xml:space="preserve">Approval by CEO </w:t>
            </w:r>
          </w:p>
        </w:tc>
        <w:tc>
          <w:tcPr>
            <w:tcW w:w="4677" w:type="dxa"/>
            <w:gridSpan w:val="2"/>
          </w:tcPr>
          <w:p w14:paraId="1F288069" w14:textId="77777777" w:rsidR="003941DB" w:rsidRDefault="003941DB" w:rsidP="00B57903">
            <w:pPr>
              <w:pStyle w:val="utstabletext"/>
              <w:spacing w:line="240" w:lineRule="auto"/>
            </w:pPr>
          </w:p>
        </w:tc>
      </w:tr>
      <w:tr w:rsidR="003941DB" w14:paraId="19F6D5A7" w14:textId="77777777" w:rsidTr="0074567E">
        <w:trPr>
          <w:trHeight w:val="20"/>
        </w:trPr>
        <w:tc>
          <w:tcPr>
            <w:tcW w:w="4395" w:type="dxa"/>
            <w:shd w:val="clear" w:color="auto" w:fill="E0E0E0"/>
            <w:vAlign w:val="center"/>
          </w:tcPr>
          <w:p w14:paraId="0EE582E5" w14:textId="77777777" w:rsidR="003941DB" w:rsidRDefault="003941DB" w:rsidP="00B57903">
            <w:pPr>
              <w:pStyle w:val="utstableheading"/>
              <w:spacing w:line="240" w:lineRule="auto"/>
            </w:pPr>
            <w:r>
              <w:t>Effective date</w:t>
            </w:r>
          </w:p>
        </w:tc>
        <w:tc>
          <w:tcPr>
            <w:tcW w:w="4677" w:type="dxa"/>
            <w:gridSpan w:val="2"/>
            <w:shd w:val="clear" w:color="auto" w:fill="E0E0E0"/>
            <w:vAlign w:val="center"/>
          </w:tcPr>
          <w:p w14:paraId="15DB5273" w14:textId="77777777" w:rsidR="003941DB" w:rsidRDefault="003941DB" w:rsidP="00B57903">
            <w:pPr>
              <w:pStyle w:val="utstableheading"/>
              <w:spacing w:line="240" w:lineRule="auto"/>
            </w:pPr>
            <w:r>
              <w:t>Review date</w:t>
            </w:r>
          </w:p>
        </w:tc>
      </w:tr>
      <w:tr w:rsidR="003941DB" w14:paraId="37475EB8" w14:textId="77777777" w:rsidTr="0074567E">
        <w:trPr>
          <w:trHeight w:val="535"/>
        </w:trPr>
        <w:tc>
          <w:tcPr>
            <w:tcW w:w="4395" w:type="dxa"/>
          </w:tcPr>
          <w:p w14:paraId="2D6F3346" w14:textId="15768FBA" w:rsidR="003941DB" w:rsidRDefault="00235392" w:rsidP="00B57903">
            <w:pPr>
              <w:pStyle w:val="utstabletext"/>
              <w:spacing w:line="240" w:lineRule="auto"/>
            </w:pPr>
            <w:r>
              <w:t>20</w:t>
            </w:r>
            <w:r w:rsidRPr="00235392">
              <w:rPr>
                <w:vertAlign w:val="superscript"/>
              </w:rPr>
              <w:t>th</w:t>
            </w:r>
            <w:r>
              <w:t xml:space="preserve"> March 2025</w:t>
            </w:r>
          </w:p>
        </w:tc>
        <w:tc>
          <w:tcPr>
            <w:tcW w:w="4677" w:type="dxa"/>
            <w:gridSpan w:val="2"/>
          </w:tcPr>
          <w:p w14:paraId="1E0EC279" w14:textId="64EE60B9" w:rsidR="003941DB" w:rsidRPr="00235392" w:rsidRDefault="00235392" w:rsidP="00B57903">
            <w:pPr>
              <w:pStyle w:val="utstableheading"/>
              <w:spacing w:line="240" w:lineRule="auto"/>
              <w:rPr>
                <w:b w:val="0"/>
                <w:bCs/>
              </w:rPr>
            </w:pPr>
            <w:r w:rsidRPr="00235392">
              <w:rPr>
                <w:b w:val="0"/>
                <w:bCs/>
              </w:rPr>
              <w:t>31</w:t>
            </w:r>
            <w:r w:rsidRPr="00235392">
              <w:rPr>
                <w:b w:val="0"/>
                <w:bCs/>
                <w:vertAlign w:val="superscript"/>
              </w:rPr>
              <w:t>st</w:t>
            </w:r>
            <w:r w:rsidRPr="00235392">
              <w:rPr>
                <w:b w:val="0"/>
                <w:bCs/>
              </w:rPr>
              <w:t xml:space="preserve"> January 2029</w:t>
            </w:r>
          </w:p>
        </w:tc>
      </w:tr>
      <w:tr w:rsidR="003941DB" w14:paraId="31643FB9" w14:textId="77777777" w:rsidTr="0074567E">
        <w:trPr>
          <w:trHeight w:val="535"/>
        </w:trPr>
        <w:tc>
          <w:tcPr>
            <w:tcW w:w="9072" w:type="dxa"/>
            <w:gridSpan w:val="3"/>
            <w:shd w:val="clear" w:color="auto" w:fill="E0E0E0"/>
            <w:vAlign w:val="center"/>
          </w:tcPr>
          <w:p w14:paraId="48098C9D" w14:textId="77777777" w:rsidR="003941DB" w:rsidRDefault="003941DB" w:rsidP="00B57903">
            <w:pPr>
              <w:pStyle w:val="utstableheading"/>
              <w:spacing w:line="240" w:lineRule="auto"/>
            </w:pPr>
            <w:r>
              <w:t>Policy Author</w:t>
            </w:r>
            <w:r>
              <w:rPr>
                <w:b w:val="0"/>
              </w:rPr>
              <w:t xml:space="preserve"> </w:t>
            </w:r>
          </w:p>
        </w:tc>
      </w:tr>
      <w:tr w:rsidR="003941DB" w14:paraId="480D7098" w14:textId="77777777" w:rsidTr="0074567E">
        <w:trPr>
          <w:trHeight w:val="535"/>
        </w:trPr>
        <w:tc>
          <w:tcPr>
            <w:tcW w:w="9072" w:type="dxa"/>
            <w:gridSpan w:val="3"/>
          </w:tcPr>
          <w:p w14:paraId="6DED6A21" w14:textId="77777777" w:rsidR="003941DB" w:rsidRDefault="003941DB" w:rsidP="00B57903">
            <w:pPr>
              <w:pStyle w:val="utstabletext"/>
              <w:spacing w:line="240" w:lineRule="auto"/>
            </w:pPr>
            <w:r>
              <w:t>Chief Executive Officer</w:t>
            </w:r>
          </w:p>
        </w:tc>
      </w:tr>
      <w:tr w:rsidR="003941DB" w14:paraId="4F8AF977" w14:textId="77777777" w:rsidTr="0074567E">
        <w:trPr>
          <w:trHeight w:val="536"/>
        </w:trPr>
        <w:tc>
          <w:tcPr>
            <w:tcW w:w="9072" w:type="dxa"/>
            <w:gridSpan w:val="3"/>
            <w:shd w:val="clear" w:color="auto" w:fill="E0E0E0"/>
            <w:vAlign w:val="center"/>
          </w:tcPr>
          <w:p w14:paraId="46A553C1" w14:textId="77777777" w:rsidR="003941DB" w:rsidRDefault="003941DB" w:rsidP="00B57903">
            <w:pPr>
              <w:pStyle w:val="utstableheading"/>
              <w:spacing w:line="240" w:lineRule="auto"/>
            </w:pPr>
            <w:r>
              <w:t>Current incumbent</w:t>
            </w:r>
          </w:p>
        </w:tc>
      </w:tr>
      <w:tr w:rsidR="003941DB" w14:paraId="58D3D031" w14:textId="77777777" w:rsidTr="0074567E">
        <w:trPr>
          <w:trHeight w:val="536"/>
        </w:trPr>
        <w:tc>
          <w:tcPr>
            <w:tcW w:w="9072" w:type="dxa"/>
            <w:gridSpan w:val="3"/>
          </w:tcPr>
          <w:p w14:paraId="219128B8" w14:textId="621CFB72" w:rsidR="003941DB" w:rsidRDefault="00A97712" w:rsidP="00B57903">
            <w:pPr>
              <w:pStyle w:val="utstableheading"/>
              <w:spacing w:line="240" w:lineRule="auto"/>
            </w:pPr>
            <w:r>
              <w:t>Mark Watt</w:t>
            </w:r>
          </w:p>
        </w:tc>
      </w:tr>
      <w:tr w:rsidR="003941DB" w14:paraId="41826C86" w14:textId="77777777" w:rsidTr="0074567E">
        <w:trPr>
          <w:trHeight w:val="535"/>
        </w:trPr>
        <w:tc>
          <w:tcPr>
            <w:tcW w:w="9072" w:type="dxa"/>
            <w:gridSpan w:val="3"/>
            <w:shd w:val="clear" w:color="auto" w:fill="E0E0E0"/>
            <w:vAlign w:val="center"/>
          </w:tcPr>
          <w:p w14:paraId="50E6CE3A" w14:textId="77777777" w:rsidR="003941DB" w:rsidRDefault="003941DB" w:rsidP="00B57903">
            <w:pPr>
              <w:pStyle w:val="utstableheading"/>
              <w:spacing w:line="240" w:lineRule="auto"/>
            </w:pPr>
            <w:r>
              <w:t>Implementation Officer</w:t>
            </w:r>
          </w:p>
        </w:tc>
      </w:tr>
      <w:tr w:rsidR="003941DB" w14:paraId="2637C5DF" w14:textId="77777777" w:rsidTr="0074567E">
        <w:trPr>
          <w:trHeight w:val="535"/>
        </w:trPr>
        <w:tc>
          <w:tcPr>
            <w:tcW w:w="9072" w:type="dxa"/>
            <w:gridSpan w:val="3"/>
          </w:tcPr>
          <w:p w14:paraId="438A2845" w14:textId="77777777" w:rsidR="003941DB" w:rsidRDefault="003941DB" w:rsidP="00B57903">
            <w:pPr>
              <w:pStyle w:val="utstabletext"/>
              <w:spacing w:line="240" w:lineRule="auto"/>
            </w:pPr>
            <w:r>
              <w:t>Chief Executive Officer</w:t>
            </w:r>
          </w:p>
        </w:tc>
      </w:tr>
      <w:tr w:rsidR="003941DB" w14:paraId="0AE92705" w14:textId="77777777" w:rsidTr="0074567E">
        <w:trPr>
          <w:trHeight w:val="536"/>
        </w:trPr>
        <w:tc>
          <w:tcPr>
            <w:tcW w:w="4395" w:type="dxa"/>
            <w:shd w:val="clear" w:color="auto" w:fill="E0E0E0"/>
            <w:vAlign w:val="center"/>
          </w:tcPr>
          <w:p w14:paraId="44AEB794" w14:textId="77777777" w:rsidR="003941DB" w:rsidRDefault="003941DB" w:rsidP="00B57903">
            <w:pPr>
              <w:pStyle w:val="utstableheading"/>
              <w:spacing w:line="240" w:lineRule="auto"/>
            </w:pPr>
            <w:r>
              <w:t>Current incumbent</w:t>
            </w:r>
          </w:p>
        </w:tc>
        <w:tc>
          <w:tcPr>
            <w:tcW w:w="2338" w:type="dxa"/>
            <w:shd w:val="clear" w:color="auto" w:fill="E0E0E0"/>
            <w:vAlign w:val="center"/>
          </w:tcPr>
          <w:p w14:paraId="7DC5921D" w14:textId="77777777" w:rsidR="003941DB" w:rsidRDefault="003941DB" w:rsidP="00B57903">
            <w:pPr>
              <w:pStyle w:val="utstableheading"/>
              <w:spacing w:line="240" w:lineRule="auto"/>
            </w:pPr>
            <w:r>
              <w:t>Contact number</w:t>
            </w:r>
          </w:p>
        </w:tc>
        <w:tc>
          <w:tcPr>
            <w:tcW w:w="2339" w:type="dxa"/>
            <w:shd w:val="clear" w:color="auto" w:fill="E0E0E0"/>
            <w:vAlign w:val="center"/>
          </w:tcPr>
          <w:p w14:paraId="1F834B36" w14:textId="77777777" w:rsidR="003941DB" w:rsidRDefault="003941DB" w:rsidP="00B57903">
            <w:pPr>
              <w:pStyle w:val="utstableheading"/>
              <w:spacing w:line="240" w:lineRule="auto"/>
            </w:pPr>
            <w:r>
              <w:t>Official file no.</w:t>
            </w:r>
          </w:p>
        </w:tc>
      </w:tr>
      <w:tr w:rsidR="003941DB" w14:paraId="5929F0B9" w14:textId="77777777" w:rsidTr="0074567E">
        <w:trPr>
          <w:trHeight w:val="536"/>
        </w:trPr>
        <w:tc>
          <w:tcPr>
            <w:tcW w:w="4395" w:type="dxa"/>
          </w:tcPr>
          <w:p w14:paraId="2D8A9A79" w14:textId="0A4E827A" w:rsidR="003941DB" w:rsidRDefault="00A97712" w:rsidP="00B57903">
            <w:pPr>
              <w:pStyle w:val="utstableheading"/>
              <w:spacing w:line="240" w:lineRule="auto"/>
            </w:pPr>
            <w:r>
              <w:t>Mark Watt</w:t>
            </w:r>
          </w:p>
        </w:tc>
        <w:tc>
          <w:tcPr>
            <w:tcW w:w="2338" w:type="dxa"/>
          </w:tcPr>
          <w:p w14:paraId="3954DB84" w14:textId="77777777" w:rsidR="003941DB" w:rsidRDefault="003941DB" w:rsidP="00B57903">
            <w:pPr>
              <w:pStyle w:val="utstableheading"/>
              <w:spacing w:line="240" w:lineRule="auto"/>
            </w:pPr>
            <w:r>
              <w:t>4079 9090</w:t>
            </w:r>
          </w:p>
        </w:tc>
        <w:tc>
          <w:tcPr>
            <w:tcW w:w="2339" w:type="dxa"/>
          </w:tcPr>
          <w:p w14:paraId="07761C57" w14:textId="50693B2C" w:rsidR="003941DB" w:rsidRDefault="00852A82" w:rsidP="00B57903">
            <w:pPr>
              <w:pStyle w:val="utstableheading"/>
              <w:spacing w:line="240" w:lineRule="auto"/>
            </w:pPr>
            <w:r>
              <w:t>C058</w:t>
            </w:r>
          </w:p>
        </w:tc>
      </w:tr>
    </w:tbl>
    <w:p w14:paraId="3904CF1C" w14:textId="77777777" w:rsidR="0074567E" w:rsidRDefault="0074567E" w:rsidP="0074567E">
      <w:pPr>
        <w:pStyle w:val="Heading20"/>
        <w:rPr>
          <w:highlight w:val="lightGray"/>
        </w:rPr>
      </w:pPr>
    </w:p>
    <w:p w14:paraId="088A4037" w14:textId="77777777" w:rsidR="0074567E" w:rsidRDefault="0074567E" w:rsidP="0074567E">
      <w:pPr>
        <w:rPr>
          <w:highlight w:val="lightGray"/>
        </w:rPr>
      </w:pPr>
      <w:r>
        <w:rPr>
          <w:highlight w:val="lightGray"/>
        </w:rPr>
        <w:br w:type="page"/>
      </w:r>
    </w:p>
    <w:p w14:paraId="3ACE25B1" w14:textId="77777777" w:rsidR="0074567E" w:rsidRDefault="0074567E">
      <w:pPr>
        <w:pStyle w:val="TOCHeading"/>
      </w:pPr>
      <w:r>
        <w:lastRenderedPageBreak/>
        <w:t>Contents</w:t>
      </w:r>
    </w:p>
    <w:p w14:paraId="1188DB7C" w14:textId="77777777" w:rsidR="00AE6F0C" w:rsidRPr="003F64A4" w:rsidRDefault="002F4C1D">
      <w:pPr>
        <w:pStyle w:val="TOC1"/>
        <w:rPr>
          <w:rFonts w:ascii="Aptos" w:hAnsi="Aptos"/>
          <w:noProof/>
          <w:kern w:val="2"/>
          <w:sz w:val="24"/>
        </w:rPr>
      </w:pPr>
      <w:r>
        <w:fldChar w:fldCharType="begin"/>
      </w:r>
      <w:r>
        <w:instrText xml:space="preserve"> TOC \t "Heading2,1,Heading3,2,Heading4,3" </w:instrText>
      </w:r>
      <w:r>
        <w:fldChar w:fldCharType="separate"/>
      </w:r>
      <w:r w:rsidR="00AE6F0C">
        <w:rPr>
          <w:noProof/>
        </w:rPr>
        <w:t>1.</w:t>
      </w:r>
      <w:r w:rsidR="00AE6F0C" w:rsidRPr="003F64A4">
        <w:rPr>
          <w:rFonts w:ascii="Aptos" w:hAnsi="Aptos"/>
          <w:noProof/>
          <w:kern w:val="2"/>
          <w:sz w:val="24"/>
        </w:rPr>
        <w:tab/>
      </w:r>
      <w:r w:rsidR="00AE6F0C">
        <w:rPr>
          <w:noProof/>
        </w:rPr>
        <w:t>Purpose</w:t>
      </w:r>
      <w:r w:rsidR="00AE6F0C">
        <w:rPr>
          <w:noProof/>
        </w:rPr>
        <w:tab/>
      </w:r>
      <w:r w:rsidR="00AE6F0C">
        <w:rPr>
          <w:noProof/>
        </w:rPr>
        <w:fldChar w:fldCharType="begin"/>
      </w:r>
      <w:r w:rsidR="00AE6F0C">
        <w:rPr>
          <w:noProof/>
        </w:rPr>
        <w:instrText xml:space="preserve"> PAGEREF _Toc183160077 \h </w:instrText>
      </w:r>
      <w:r w:rsidR="00AE6F0C">
        <w:rPr>
          <w:noProof/>
        </w:rPr>
      </w:r>
      <w:r w:rsidR="00AE6F0C">
        <w:rPr>
          <w:noProof/>
        </w:rPr>
        <w:fldChar w:fldCharType="separate"/>
      </w:r>
      <w:r w:rsidR="00AE6F0C">
        <w:rPr>
          <w:noProof/>
        </w:rPr>
        <w:t>3</w:t>
      </w:r>
      <w:r w:rsidR="00AE6F0C">
        <w:rPr>
          <w:noProof/>
        </w:rPr>
        <w:fldChar w:fldCharType="end"/>
      </w:r>
    </w:p>
    <w:p w14:paraId="4A58D1E7" w14:textId="77777777" w:rsidR="00AE6F0C" w:rsidRPr="003F64A4" w:rsidRDefault="00AE6F0C">
      <w:pPr>
        <w:pStyle w:val="TOC1"/>
        <w:rPr>
          <w:rFonts w:ascii="Aptos" w:hAnsi="Aptos"/>
          <w:noProof/>
          <w:kern w:val="2"/>
          <w:sz w:val="24"/>
        </w:rPr>
      </w:pPr>
      <w:r>
        <w:rPr>
          <w:noProof/>
        </w:rPr>
        <w:t>2.</w:t>
      </w:r>
      <w:r w:rsidRPr="003F64A4">
        <w:rPr>
          <w:rFonts w:ascii="Aptos" w:hAnsi="Aptos"/>
          <w:noProof/>
          <w:kern w:val="2"/>
          <w:sz w:val="24"/>
        </w:rPr>
        <w:tab/>
      </w:r>
      <w:r>
        <w:rPr>
          <w:noProof/>
        </w:rPr>
        <w:t>Scope</w:t>
      </w:r>
      <w:r>
        <w:rPr>
          <w:noProof/>
        </w:rPr>
        <w:tab/>
      </w:r>
      <w:r>
        <w:rPr>
          <w:noProof/>
        </w:rPr>
        <w:fldChar w:fldCharType="begin"/>
      </w:r>
      <w:r>
        <w:rPr>
          <w:noProof/>
        </w:rPr>
        <w:instrText xml:space="preserve"> PAGEREF _Toc183160078 \h </w:instrText>
      </w:r>
      <w:r>
        <w:rPr>
          <w:noProof/>
        </w:rPr>
      </w:r>
      <w:r>
        <w:rPr>
          <w:noProof/>
        </w:rPr>
        <w:fldChar w:fldCharType="separate"/>
      </w:r>
      <w:r>
        <w:rPr>
          <w:noProof/>
        </w:rPr>
        <w:t>3</w:t>
      </w:r>
      <w:r>
        <w:rPr>
          <w:noProof/>
        </w:rPr>
        <w:fldChar w:fldCharType="end"/>
      </w:r>
    </w:p>
    <w:p w14:paraId="4C796B0D" w14:textId="77777777" w:rsidR="00AE6F0C" w:rsidRPr="003F64A4" w:rsidRDefault="00AE6F0C">
      <w:pPr>
        <w:pStyle w:val="TOC1"/>
        <w:rPr>
          <w:rFonts w:ascii="Aptos" w:hAnsi="Aptos"/>
          <w:noProof/>
          <w:kern w:val="2"/>
          <w:sz w:val="24"/>
        </w:rPr>
      </w:pPr>
      <w:r>
        <w:rPr>
          <w:noProof/>
        </w:rPr>
        <w:t>3.</w:t>
      </w:r>
      <w:r w:rsidRPr="003F64A4">
        <w:rPr>
          <w:rFonts w:ascii="Aptos" w:hAnsi="Aptos"/>
          <w:noProof/>
          <w:kern w:val="2"/>
          <w:sz w:val="24"/>
        </w:rPr>
        <w:tab/>
      </w:r>
      <w:r>
        <w:rPr>
          <w:noProof/>
        </w:rPr>
        <w:t>Policy Statement</w:t>
      </w:r>
      <w:r>
        <w:rPr>
          <w:noProof/>
        </w:rPr>
        <w:tab/>
      </w:r>
      <w:r>
        <w:rPr>
          <w:noProof/>
        </w:rPr>
        <w:fldChar w:fldCharType="begin"/>
      </w:r>
      <w:r>
        <w:rPr>
          <w:noProof/>
        </w:rPr>
        <w:instrText xml:space="preserve"> PAGEREF _Toc183160079 \h </w:instrText>
      </w:r>
      <w:r>
        <w:rPr>
          <w:noProof/>
        </w:rPr>
      </w:r>
      <w:r>
        <w:rPr>
          <w:noProof/>
        </w:rPr>
        <w:fldChar w:fldCharType="separate"/>
      </w:r>
      <w:r>
        <w:rPr>
          <w:noProof/>
        </w:rPr>
        <w:t>3</w:t>
      </w:r>
      <w:r>
        <w:rPr>
          <w:noProof/>
        </w:rPr>
        <w:fldChar w:fldCharType="end"/>
      </w:r>
    </w:p>
    <w:p w14:paraId="690CAD48" w14:textId="77777777" w:rsidR="00AE6F0C" w:rsidRPr="003F64A4" w:rsidRDefault="00AE6F0C">
      <w:pPr>
        <w:pStyle w:val="TOC3"/>
        <w:tabs>
          <w:tab w:val="right" w:leader="dot" w:pos="9054"/>
        </w:tabs>
        <w:rPr>
          <w:rFonts w:ascii="Aptos" w:hAnsi="Aptos"/>
          <w:noProof/>
          <w:kern w:val="2"/>
          <w:sz w:val="24"/>
        </w:rPr>
      </w:pPr>
      <w:r>
        <w:rPr>
          <w:noProof/>
        </w:rPr>
        <w:t>Process and Payment amount</w:t>
      </w:r>
      <w:r>
        <w:rPr>
          <w:noProof/>
        </w:rPr>
        <w:tab/>
      </w:r>
      <w:r>
        <w:rPr>
          <w:noProof/>
        </w:rPr>
        <w:fldChar w:fldCharType="begin"/>
      </w:r>
      <w:r>
        <w:rPr>
          <w:noProof/>
        </w:rPr>
        <w:instrText xml:space="preserve"> PAGEREF _Toc183160080 \h </w:instrText>
      </w:r>
      <w:r>
        <w:rPr>
          <w:noProof/>
        </w:rPr>
      </w:r>
      <w:r>
        <w:rPr>
          <w:noProof/>
        </w:rPr>
        <w:fldChar w:fldCharType="separate"/>
      </w:r>
      <w:r>
        <w:rPr>
          <w:noProof/>
        </w:rPr>
        <w:t>3</w:t>
      </w:r>
      <w:r>
        <w:rPr>
          <w:noProof/>
        </w:rPr>
        <w:fldChar w:fldCharType="end"/>
      </w:r>
    </w:p>
    <w:p w14:paraId="2660A203" w14:textId="77777777" w:rsidR="00AE6F0C" w:rsidRPr="003F64A4" w:rsidRDefault="00AE6F0C">
      <w:pPr>
        <w:pStyle w:val="TOC3"/>
        <w:tabs>
          <w:tab w:val="right" w:leader="dot" w:pos="9054"/>
        </w:tabs>
        <w:rPr>
          <w:rFonts w:ascii="Aptos" w:hAnsi="Aptos"/>
          <w:noProof/>
          <w:kern w:val="2"/>
          <w:sz w:val="24"/>
        </w:rPr>
      </w:pPr>
      <w:r>
        <w:rPr>
          <w:noProof/>
        </w:rPr>
        <w:t>Approval</w:t>
      </w:r>
      <w:r>
        <w:rPr>
          <w:noProof/>
        </w:rPr>
        <w:tab/>
      </w:r>
      <w:r>
        <w:rPr>
          <w:noProof/>
        </w:rPr>
        <w:fldChar w:fldCharType="begin"/>
      </w:r>
      <w:r>
        <w:rPr>
          <w:noProof/>
        </w:rPr>
        <w:instrText xml:space="preserve"> PAGEREF _Toc183160081 \h </w:instrText>
      </w:r>
      <w:r>
        <w:rPr>
          <w:noProof/>
        </w:rPr>
      </w:r>
      <w:r>
        <w:rPr>
          <w:noProof/>
        </w:rPr>
        <w:fldChar w:fldCharType="separate"/>
      </w:r>
      <w:r>
        <w:rPr>
          <w:noProof/>
        </w:rPr>
        <w:t>3</w:t>
      </w:r>
      <w:r>
        <w:rPr>
          <w:noProof/>
        </w:rPr>
        <w:fldChar w:fldCharType="end"/>
      </w:r>
    </w:p>
    <w:p w14:paraId="6434146B" w14:textId="77777777" w:rsidR="00AE6F0C" w:rsidRPr="003F64A4" w:rsidRDefault="00AE6F0C">
      <w:pPr>
        <w:pStyle w:val="TOC3"/>
        <w:tabs>
          <w:tab w:val="right" w:leader="dot" w:pos="9054"/>
        </w:tabs>
        <w:rPr>
          <w:rFonts w:ascii="Aptos" w:hAnsi="Aptos"/>
          <w:noProof/>
          <w:kern w:val="2"/>
          <w:sz w:val="24"/>
        </w:rPr>
      </w:pPr>
      <w:r>
        <w:rPr>
          <w:noProof/>
        </w:rPr>
        <w:t>Record-Keeping</w:t>
      </w:r>
      <w:r>
        <w:rPr>
          <w:noProof/>
        </w:rPr>
        <w:tab/>
      </w:r>
      <w:r>
        <w:rPr>
          <w:noProof/>
        </w:rPr>
        <w:fldChar w:fldCharType="begin"/>
      </w:r>
      <w:r>
        <w:rPr>
          <w:noProof/>
        </w:rPr>
        <w:instrText xml:space="preserve"> PAGEREF _Toc183160082 \h </w:instrText>
      </w:r>
      <w:r>
        <w:rPr>
          <w:noProof/>
        </w:rPr>
      </w:r>
      <w:r>
        <w:rPr>
          <w:noProof/>
        </w:rPr>
        <w:fldChar w:fldCharType="separate"/>
      </w:r>
      <w:r>
        <w:rPr>
          <w:noProof/>
        </w:rPr>
        <w:t>3</w:t>
      </w:r>
      <w:r>
        <w:rPr>
          <w:noProof/>
        </w:rPr>
        <w:fldChar w:fldCharType="end"/>
      </w:r>
    </w:p>
    <w:p w14:paraId="3D004A14" w14:textId="77777777" w:rsidR="00AE6F0C" w:rsidRPr="003F64A4" w:rsidRDefault="00AE6F0C">
      <w:pPr>
        <w:pStyle w:val="TOC3"/>
        <w:tabs>
          <w:tab w:val="right" w:leader="dot" w:pos="9054"/>
        </w:tabs>
        <w:rPr>
          <w:rFonts w:ascii="Aptos" w:hAnsi="Aptos"/>
          <w:noProof/>
          <w:kern w:val="2"/>
          <w:sz w:val="24"/>
        </w:rPr>
      </w:pPr>
      <w:r>
        <w:rPr>
          <w:noProof/>
        </w:rPr>
        <w:t>Confidentiality / Non-Disclosure Agreement</w:t>
      </w:r>
      <w:r>
        <w:rPr>
          <w:noProof/>
        </w:rPr>
        <w:tab/>
      </w:r>
      <w:r>
        <w:rPr>
          <w:noProof/>
        </w:rPr>
        <w:fldChar w:fldCharType="begin"/>
      </w:r>
      <w:r>
        <w:rPr>
          <w:noProof/>
        </w:rPr>
        <w:instrText xml:space="preserve"> PAGEREF _Toc183160083 \h </w:instrText>
      </w:r>
      <w:r>
        <w:rPr>
          <w:noProof/>
        </w:rPr>
      </w:r>
      <w:r>
        <w:rPr>
          <w:noProof/>
        </w:rPr>
        <w:fldChar w:fldCharType="separate"/>
      </w:r>
      <w:r>
        <w:rPr>
          <w:noProof/>
        </w:rPr>
        <w:t>3</w:t>
      </w:r>
      <w:r>
        <w:rPr>
          <w:noProof/>
        </w:rPr>
        <w:fldChar w:fldCharType="end"/>
      </w:r>
    </w:p>
    <w:p w14:paraId="4F26A8BF" w14:textId="77777777" w:rsidR="00AE6F0C" w:rsidRPr="003F64A4" w:rsidRDefault="00AE6F0C">
      <w:pPr>
        <w:pStyle w:val="TOC1"/>
        <w:rPr>
          <w:rFonts w:ascii="Aptos" w:hAnsi="Aptos"/>
          <w:noProof/>
          <w:kern w:val="2"/>
          <w:sz w:val="24"/>
        </w:rPr>
      </w:pPr>
      <w:r>
        <w:rPr>
          <w:noProof/>
        </w:rPr>
        <w:t>4.</w:t>
      </w:r>
      <w:r w:rsidRPr="003F64A4">
        <w:rPr>
          <w:rFonts w:ascii="Aptos" w:hAnsi="Aptos"/>
          <w:noProof/>
          <w:kern w:val="2"/>
          <w:sz w:val="24"/>
        </w:rPr>
        <w:tab/>
      </w:r>
      <w:r>
        <w:rPr>
          <w:noProof/>
        </w:rPr>
        <w:t>Definitions</w:t>
      </w:r>
      <w:r>
        <w:rPr>
          <w:noProof/>
        </w:rPr>
        <w:tab/>
      </w:r>
      <w:r>
        <w:rPr>
          <w:noProof/>
        </w:rPr>
        <w:fldChar w:fldCharType="begin"/>
      </w:r>
      <w:r>
        <w:rPr>
          <w:noProof/>
        </w:rPr>
        <w:instrText xml:space="preserve"> PAGEREF _Toc183160084 \h </w:instrText>
      </w:r>
      <w:r>
        <w:rPr>
          <w:noProof/>
        </w:rPr>
      </w:r>
      <w:r>
        <w:rPr>
          <w:noProof/>
        </w:rPr>
        <w:fldChar w:fldCharType="separate"/>
      </w:r>
      <w:r>
        <w:rPr>
          <w:noProof/>
        </w:rPr>
        <w:t>4</w:t>
      </w:r>
      <w:r>
        <w:rPr>
          <w:noProof/>
        </w:rPr>
        <w:fldChar w:fldCharType="end"/>
      </w:r>
    </w:p>
    <w:p w14:paraId="19248C2B" w14:textId="77777777" w:rsidR="00AE6F0C" w:rsidRPr="003F64A4" w:rsidRDefault="00AE6F0C">
      <w:pPr>
        <w:pStyle w:val="TOC1"/>
        <w:rPr>
          <w:rFonts w:ascii="Aptos" w:hAnsi="Aptos"/>
          <w:noProof/>
          <w:kern w:val="2"/>
          <w:sz w:val="24"/>
        </w:rPr>
      </w:pPr>
      <w:r>
        <w:rPr>
          <w:noProof/>
        </w:rPr>
        <w:t>5.</w:t>
      </w:r>
      <w:r w:rsidRPr="003F64A4">
        <w:rPr>
          <w:rFonts w:ascii="Aptos" w:hAnsi="Aptos"/>
          <w:noProof/>
          <w:kern w:val="2"/>
          <w:sz w:val="24"/>
        </w:rPr>
        <w:tab/>
      </w:r>
      <w:r>
        <w:rPr>
          <w:noProof/>
        </w:rPr>
        <w:t>Related Legislation, Documents and References</w:t>
      </w:r>
      <w:r>
        <w:rPr>
          <w:noProof/>
        </w:rPr>
        <w:tab/>
      </w:r>
      <w:r>
        <w:rPr>
          <w:noProof/>
        </w:rPr>
        <w:fldChar w:fldCharType="begin"/>
      </w:r>
      <w:r>
        <w:rPr>
          <w:noProof/>
        </w:rPr>
        <w:instrText xml:space="preserve"> PAGEREF _Toc183160085 \h </w:instrText>
      </w:r>
      <w:r>
        <w:rPr>
          <w:noProof/>
        </w:rPr>
      </w:r>
      <w:r>
        <w:rPr>
          <w:noProof/>
        </w:rPr>
        <w:fldChar w:fldCharType="separate"/>
      </w:r>
      <w:r>
        <w:rPr>
          <w:noProof/>
        </w:rPr>
        <w:t>4</w:t>
      </w:r>
      <w:r>
        <w:rPr>
          <w:noProof/>
        </w:rPr>
        <w:fldChar w:fldCharType="end"/>
      </w:r>
    </w:p>
    <w:p w14:paraId="2A220CDD" w14:textId="77777777" w:rsidR="0074567E" w:rsidRDefault="002F4C1D">
      <w:r>
        <w:fldChar w:fldCharType="end"/>
      </w:r>
    </w:p>
    <w:p w14:paraId="77543972" w14:textId="77777777" w:rsidR="0074567E" w:rsidRDefault="0074567E" w:rsidP="0074567E">
      <w:pPr>
        <w:rPr>
          <w:highlight w:val="lightGray"/>
        </w:rPr>
      </w:pPr>
    </w:p>
    <w:p w14:paraId="752CCF55" w14:textId="77777777" w:rsidR="00CC513A" w:rsidRDefault="00881B18" w:rsidP="00B57903">
      <w:pPr>
        <w:pStyle w:val="Heading20"/>
        <w:numPr>
          <w:ilvl w:val="0"/>
          <w:numId w:val="15"/>
        </w:numPr>
        <w:ind w:left="426" w:hanging="426"/>
      </w:pPr>
      <w:r w:rsidRPr="0074567E">
        <w:rPr>
          <w:highlight w:val="lightGray"/>
        </w:rPr>
        <w:br w:type="page"/>
      </w:r>
      <w:bookmarkStart w:id="0" w:name="_Toc183160077"/>
      <w:r w:rsidR="0074567E">
        <w:lastRenderedPageBreak/>
        <w:t>Purpose</w:t>
      </w:r>
      <w:bookmarkEnd w:id="0"/>
    </w:p>
    <w:p w14:paraId="531AF912" w14:textId="77777777" w:rsidR="00E25EF8" w:rsidRPr="00E25EF8" w:rsidRDefault="00E25EF8" w:rsidP="00E25EF8">
      <w:pPr>
        <w:rPr>
          <w:b/>
          <w:bCs/>
          <w:caps/>
          <w:kern w:val="32"/>
          <w:sz w:val="24"/>
          <w:szCs w:val="32"/>
        </w:rPr>
      </w:pPr>
      <w:r w:rsidRPr="00E25EF8">
        <w:t xml:space="preserve">The purpose of the policy is to establish protocols for facilitating ex-gratia payments, or special payments </w:t>
      </w:r>
    </w:p>
    <w:p w14:paraId="4CD217DB" w14:textId="77777777" w:rsidR="00CC513A" w:rsidRDefault="0074567E" w:rsidP="00B57903">
      <w:pPr>
        <w:pStyle w:val="Heading20"/>
        <w:numPr>
          <w:ilvl w:val="0"/>
          <w:numId w:val="15"/>
        </w:numPr>
        <w:ind w:left="426" w:hanging="426"/>
      </w:pPr>
      <w:bookmarkStart w:id="1" w:name="_Toc183160078"/>
      <w:r>
        <w:t>Scope</w:t>
      </w:r>
      <w:bookmarkEnd w:id="1"/>
    </w:p>
    <w:p w14:paraId="32EA111D" w14:textId="77777777" w:rsidR="00E25EF8" w:rsidRDefault="00E25EF8" w:rsidP="00E25EF8">
      <w:r w:rsidRPr="00E25EF8">
        <w:t>This policy applies to all ex-gratia payments made by Council to employees or third parties. This policy does not cover payments required by law or contractual obligation</w:t>
      </w:r>
      <w:r>
        <w:t>.</w:t>
      </w:r>
    </w:p>
    <w:p w14:paraId="589F563B" w14:textId="77777777" w:rsidR="00881B18" w:rsidRDefault="0074567E" w:rsidP="00B57903">
      <w:pPr>
        <w:pStyle w:val="Heading20"/>
        <w:numPr>
          <w:ilvl w:val="0"/>
          <w:numId w:val="15"/>
        </w:numPr>
        <w:ind w:left="426" w:hanging="426"/>
      </w:pPr>
      <w:bookmarkStart w:id="2" w:name="_Toc183160079"/>
      <w:r>
        <w:t>Policy Statement</w:t>
      </w:r>
      <w:bookmarkEnd w:id="2"/>
    </w:p>
    <w:p w14:paraId="73BC0752" w14:textId="77777777" w:rsidR="00E25EF8" w:rsidRDefault="00E25EF8" w:rsidP="00E25EF8">
      <w:pPr>
        <w:jc w:val="both"/>
      </w:pPr>
      <w:r>
        <w:t>This policy outlines the process under which Etheridge Shire Council (Council) may offer ex-gratia payments to individuals, groups, or organisations in situations where there is no legal obligation to provide compensation, but it is deemed appropriate as a goodwill gesture and is considered reasonable in all the circumstances.</w:t>
      </w:r>
    </w:p>
    <w:p w14:paraId="0F71D897" w14:textId="77777777" w:rsidR="00E25EF8" w:rsidRDefault="00E25EF8" w:rsidP="00E25EF8">
      <w:pPr>
        <w:jc w:val="both"/>
      </w:pPr>
    </w:p>
    <w:p w14:paraId="1D8EDFD1" w14:textId="77777777" w:rsidR="00E25EF8" w:rsidRDefault="00E25EF8" w:rsidP="00E25EF8">
      <w:pPr>
        <w:jc w:val="both"/>
      </w:pPr>
      <w:r>
        <w:t xml:space="preserve">Council must ensure special payments are appropriate, defensible, and transparent.  Council supports the use of alternative strategies to achieve a mutually agreeable outcome, prior to considering progressing with an ex-gratia payment. </w:t>
      </w:r>
    </w:p>
    <w:p w14:paraId="0D2D08EE" w14:textId="77777777" w:rsidR="00E25EF8" w:rsidRDefault="00E25EF8" w:rsidP="00E25EF8">
      <w:pPr>
        <w:jc w:val="both"/>
      </w:pPr>
    </w:p>
    <w:p w14:paraId="13BC4830" w14:textId="77777777" w:rsidR="00E25EF8" w:rsidRDefault="00E25EF8" w:rsidP="00E25EF8">
      <w:pPr>
        <w:jc w:val="both"/>
      </w:pPr>
      <w:r>
        <w:t xml:space="preserve">Each ex-gratia payment is voluntary and made based on the facts and circumstances relevant to each </w:t>
      </w:r>
      <w:proofErr w:type="gramStart"/>
      <w:r>
        <w:t>particular matter</w:t>
      </w:r>
      <w:proofErr w:type="gramEnd"/>
      <w:r>
        <w:t>. The making of an ex-gratia payment does not create a precedent for other claims or payments and does not constitute an admission of liability on the part of either party.</w:t>
      </w:r>
    </w:p>
    <w:p w14:paraId="392A15FB" w14:textId="77777777" w:rsidR="00E25EF8" w:rsidRDefault="00E25EF8" w:rsidP="00E25EF8">
      <w:pPr>
        <w:jc w:val="both"/>
      </w:pPr>
    </w:p>
    <w:p w14:paraId="1E9A0F09" w14:textId="77777777" w:rsidR="00E25EF8" w:rsidRDefault="00E25EF8" w:rsidP="00E25EF8">
      <w:pPr>
        <w:jc w:val="both"/>
      </w:pPr>
      <w:r>
        <w:t>The making of an ex-gratia payment under this policy also does not imply that payments of a similar value will be made in other matters.</w:t>
      </w:r>
    </w:p>
    <w:p w14:paraId="173F7F60" w14:textId="77777777" w:rsidR="00E25EF8" w:rsidRDefault="00E25EF8" w:rsidP="00E25EF8">
      <w:pPr>
        <w:jc w:val="both"/>
      </w:pPr>
    </w:p>
    <w:p w14:paraId="7A0634B4" w14:textId="77777777" w:rsidR="00E25EF8" w:rsidRDefault="00E25EF8" w:rsidP="00E25EF8">
      <w:pPr>
        <w:pStyle w:val="Heading40"/>
        <w:jc w:val="both"/>
      </w:pPr>
      <w:bookmarkStart w:id="3" w:name="_Toc183160080"/>
      <w:r>
        <w:t>Process and Payment amount</w:t>
      </w:r>
      <w:bookmarkEnd w:id="3"/>
    </w:p>
    <w:p w14:paraId="5B20CB62" w14:textId="77777777" w:rsidR="00E25EF8" w:rsidRDefault="00E25EF8" w:rsidP="00E25EF8">
      <w:pPr>
        <w:jc w:val="both"/>
      </w:pPr>
      <w:r>
        <w:t>The decision to make an ex-gratia payment will be determined on a case-by-case basis and, where applicable and appropriate, based on independent legal advice to ensure it is not setting a precedent.</w:t>
      </w:r>
    </w:p>
    <w:p w14:paraId="14276152" w14:textId="77777777" w:rsidR="00E25EF8" w:rsidRDefault="00E25EF8" w:rsidP="00E25EF8">
      <w:pPr>
        <w:jc w:val="both"/>
      </w:pPr>
      <w:r>
        <w:t xml:space="preserve">The value of an ex-gratia payments must be reasonable and proportionate to the facts and circumstances of each matter.  </w:t>
      </w:r>
    </w:p>
    <w:p w14:paraId="45CD3DC9" w14:textId="77777777" w:rsidR="00E25EF8" w:rsidRDefault="00E25EF8" w:rsidP="00E25EF8">
      <w:pPr>
        <w:jc w:val="both"/>
      </w:pPr>
    </w:p>
    <w:p w14:paraId="6DC82E4B" w14:textId="77777777" w:rsidR="00E25EF8" w:rsidRDefault="00E25EF8" w:rsidP="00E25EF8">
      <w:pPr>
        <w:pStyle w:val="Heading40"/>
        <w:jc w:val="both"/>
      </w:pPr>
      <w:bookmarkStart w:id="4" w:name="_Toc183160081"/>
      <w:r>
        <w:t>Approval</w:t>
      </w:r>
      <w:bookmarkEnd w:id="4"/>
      <w:r>
        <w:t xml:space="preserve"> </w:t>
      </w:r>
    </w:p>
    <w:p w14:paraId="33A4F120" w14:textId="1359AEED" w:rsidR="00E25EF8" w:rsidRDefault="00E25EF8" w:rsidP="00E25EF8">
      <w:pPr>
        <w:jc w:val="both"/>
      </w:pPr>
      <w:r>
        <w:t xml:space="preserve">Only the Chief Executive Officer (CEO) can negotiate and approve an ex-gratia payment </w:t>
      </w:r>
      <w:r w:rsidR="003A3230">
        <w:t xml:space="preserve">to a </w:t>
      </w:r>
      <w:r w:rsidR="003A3230" w:rsidRPr="003A3230">
        <w:rPr>
          <w:b/>
          <w:bCs/>
        </w:rPr>
        <w:t>maximum limit of $15,000</w:t>
      </w:r>
      <w:r w:rsidR="000A58A0" w:rsidRPr="003A3230">
        <w:rPr>
          <w:b/>
          <w:bCs/>
        </w:rPr>
        <w:t>.</w:t>
      </w:r>
      <w:r w:rsidR="000A58A0">
        <w:t xml:space="preserve">  An </w:t>
      </w:r>
      <w:r>
        <w:t xml:space="preserve">ex-gratia payment </w:t>
      </w:r>
      <w:r w:rsidR="000A58A0">
        <w:t>may be made u</w:t>
      </w:r>
      <w:r>
        <w:t xml:space="preserve">nder a </w:t>
      </w:r>
      <w:r w:rsidR="00745630">
        <w:t>Council resolution</w:t>
      </w:r>
      <w:r w:rsidR="00351EA4">
        <w:t>, if required.</w:t>
      </w:r>
      <w:r>
        <w:t xml:space="preserve">  </w:t>
      </w:r>
    </w:p>
    <w:p w14:paraId="59C33875" w14:textId="77777777" w:rsidR="00E25EF8" w:rsidRDefault="00E25EF8" w:rsidP="00E25EF8">
      <w:pPr>
        <w:jc w:val="both"/>
      </w:pPr>
    </w:p>
    <w:p w14:paraId="3159C68F" w14:textId="77777777" w:rsidR="00E25EF8" w:rsidRDefault="00E25EF8" w:rsidP="00E25EF8">
      <w:pPr>
        <w:jc w:val="both"/>
      </w:pPr>
      <w:r>
        <w:t xml:space="preserve">The CEO is authorised to negotiate and authorise ex-gratia payments for Council staff and </w:t>
      </w:r>
      <w:proofErr w:type="gramStart"/>
      <w:r>
        <w:t>third party</w:t>
      </w:r>
      <w:proofErr w:type="gramEnd"/>
      <w:r>
        <w:t xml:space="preserve"> matters. If the ex-gratia payment relates to the CEO, Council must determine whether an ex-gratia payment is to be made and its value, unless Council delegates the matter to the mayor to negotiate and authorise.</w:t>
      </w:r>
    </w:p>
    <w:p w14:paraId="5C231E8F" w14:textId="77777777" w:rsidR="00E25EF8" w:rsidRDefault="00E25EF8" w:rsidP="00E25EF8">
      <w:pPr>
        <w:jc w:val="both"/>
      </w:pPr>
    </w:p>
    <w:p w14:paraId="4A584025" w14:textId="77777777" w:rsidR="00E25EF8" w:rsidRDefault="00E25EF8" w:rsidP="00E25EF8">
      <w:pPr>
        <w:pStyle w:val="Heading40"/>
        <w:jc w:val="both"/>
      </w:pPr>
      <w:bookmarkStart w:id="5" w:name="_Toc183160082"/>
      <w:r>
        <w:t>Record-Keeping</w:t>
      </w:r>
      <w:bookmarkEnd w:id="5"/>
    </w:p>
    <w:p w14:paraId="36A1B05F" w14:textId="1A012A0E" w:rsidR="00E25EF8" w:rsidRDefault="00E25EF8" w:rsidP="00E25EF8">
      <w:pPr>
        <w:jc w:val="both"/>
      </w:pPr>
      <w:r>
        <w:t xml:space="preserve">All documentation relating to the determination of an ex-gratia payment must be recorded and stored according to Council’s records management policy and procedures.  </w:t>
      </w:r>
    </w:p>
    <w:p w14:paraId="73F7F9AF" w14:textId="77777777" w:rsidR="00E25EF8" w:rsidRDefault="00E25EF8" w:rsidP="00E25EF8">
      <w:pPr>
        <w:jc w:val="both"/>
      </w:pPr>
      <w:r>
        <w:t>A formal record of all ex-gratia payments will be maintained by the Chief Executive Office.</w:t>
      </w:r>
    </w:p>
    <w:p w14:paraId="0B32B23A" w14:textId="77777777" w:rsidR="00E25EF8" w:rsidRDefault="00E25EF8" w:rsidP="00E25EF8">
      <w:pPr>
        <w:jc w:val="both"/>
      </w:pPr>
      <w:r>
        <w:t>Council must keep proper records supporting each ex-gratia payment, including evidence of key decisions made and who they were made by. These records include:</w:t>
      </w:r>
    </w:p>
    <w:p w14:paraId="32EC1418" w14:textId="77777777" w:rsidR="00E25EF8" w:rsidRDefault="00E25EF8" w:rsidP="00E25EF8">
      <w:pPr>
        <w:numPr>
          <w:ilvl w:val="0"/>
          <w:numId w:val="47"/>
        </w:numPr>
        <w:ind w:left="709" w:hanging="349"/>
        <w:jc w:val="both"/>
      </w:pPr>
      <w:r>
        <w:t xml:space="preserve">the payment date and the recipient of the </w:t>
      </w:r>
      <w:proofErr w:type="gramStart"/>
      <w:r>
        <w:t>payment;</w:t>
      </w:r>
      <w:proofErr w:type="gramEnd"/>
    </w:p>
    <w:p w14:paraId="25CB98F7" w14:textId="77777777" w:rsidR="00E25EF8" w:rsidRDefault="00E25EF8" w:rsidP="00E25EF8">
      <w:pPr>
        <w:numPr>
          <w:ilvl w:val="0"/>
          <w:numId w:val="47"/>
        </w:numPr>
        <w:ind w:left="709" w:hanging="349"/>
        <w:jc w:val="both"/>
      </w:pPr>
      <w:r>
        <w:t xml:space="preserve">the reason for the payment and how the payment amount was </w:t>
      </w:r>
      <w:proofErr w:type="gramStart"/>
      <w:r>
        <w:t>determined;</w:t>
      </w:r>
      <w:proofErr w:type="gramEnd"/>
    </w:p>
    <w:p w14:paraId="0EB7F0B5" w14:textId="77777777" w:rsidR="00E25EF8" w:rsidRDefault="00E25EF8" w:rsidP="00E25EF8">
      <w:pPr>
        <w:numPr>
          <w:ilvl w:val="0"/>
          <w:numId w:val="47"/>
        </w:numPr>
        <w:ind w:left="709" w:hanging="349"/>
        <w:jc w:val="both"/>
      </w:pPr>
      <w:r>
        <w:t xml:space="preserve">whether independent (legal) advice was obtained to support the basis and value of the </w:t>
      </w:r>
      <w:proofErr w:type="gramStart"/>
      <w:r>
        <w:t>payment;</w:t>
      </w:r>
      <w:proofErr w:type="gramEnd"/>
    </w:p>
    <w:p w14:paraId="419A1357" w14:textId="77777777" w:rsidR="00E25EF8" w:rsidRDefault="00E25EF8" w:rsidP="00E25EF8">
      <w:pPr>
        <w:numPr>
          <w:ilvl w:val="0"/>
          <w:numId w:val="47"/>
        </w:numPr>
        <w:ind w:left="709" w:hanging="349"/>
        <w:jc w:val="both"/>
      </w:pPr>
      <w:r>
        <w:t xml:space="preserve">how the payment represents an appropriate use of public </w:t>
      </w:r>
      <w:proofErr w:type="gramStart"/>
      <w:r>
        <w:t>money;</w:t>
      </w:r>
      <w:proofErr w:type="gramEnd"/>
    </w:p>
    <w:p w14:paraId="4EE4C44D" w14:textId="77777777" w:rsidR="00E25EF8" w:rsidRDefault="00E25EF8" w:rsidP="00E25EF8">
      <w:pPr>
        <w:numPr>
          <w:ilvl w:val="0"/>
          <w:numId w:val="47"/>
        </w:numPr>
        <w:ind w:left="709" w:hanging="349"/>
        <w:jc w:val="both"/>
      </w:pPr>
      <w:r>
        <w:t>who approved the payment; and</w:t>
      </w:r>
    </w:p>
    <w:p w14:paraId="394B93B1" w14:textId="77777777" w:rsidR="00E25EF8" w:rsidRDefault="00E25EF8" w:rsidP="00E25EF8">
      <w:pPr>
        <w:numPr>
          <w:ilvl w:val="0"/>
          <w:numId w:val="47"/>
        </w:numPr>
        <w:ind w:left="709" w:hanging="349"/>
        <w:jc w:val="both"/>
      </w:pPr>
      <w:r>
        <w:t>other payment details that Council consider relevant.</w:t>
      </w:r>
    </w:p>
    <w:p w14:paraId="236DBF59" w14:textId="77777777" w:rsidR="00E25EF8" w:rsidRDefault="00E25EF8" w:rsidP="00E25EF8">
      <w:pPr>
        <w:ind w:left="360"/>
        <w:jc w:val="both"/>
      </w:pPr>
    </w:p>
    <w:p w14:paraId="44528F33" w14:textId="77777777" w:rsidR="00902FDD" w:rsidRDefault="00902FDD" w:rsidP="00E25EF8">
      <w:pPr>
        <w:pStyle w:val="Heading40"/>
        <w:jc w:val="both"/>
      </w:pPr>
      <w:bookmarkStart w:id="6" w:name="_Toc183160083"/>
      <w:r>
        <w:br w:type="page"/>
      </w:r>
    </w:p>
    <w:p w14:paraId="2E4C7783" w14:textId="77777777" w:rsidR="00E25EF8" w:rsidRDefault="00E25EF8" w:rsidP="00E25EF8">
      <w:pPr>
        <w:pStyle w:val="Heading40"/>
        <w:jc w:val="both"/>
      </w:pPr>
      <w:r>
        <w:lastRenderedPageBreak/>
        <w:t>Confidentiality / Non-Disclosure Agreement</w:t>
      </w:r>
      <w:bookmarkEnd w:id="6"/>
    </w:p>
    <w:p w14:paraId="4691AA37" w14:textId="77777777" w:rsidR="00E25EF8" w:rsidRDefault="00E25EF8" w:rsidP="00E25EF8">
      <w:pPr>
        <w:jc w:val="both"/>
      </w:pPr>
      <w:r>
        <w:t>While Council must ensure ex-gratia payments are appropriate, defensible, and transparent, there may be aspects of the payments that must be treated confidentially by both parties unless otherwise required by law.</w:t>
      </w:r>
    </w:p>
    <w:p w14:paraId="5D3BE0B6" w14:textId="72988639" w:rsidR="00E25EF8" w:rsidRDefault="00E25EF8" w:rsidP="00E25EF8">
      <w:pPr>
        <w:jc w:val="both"/>
      </w:pPr>
      <w:r>
        <w:t>Non-disclosure Agreements (NDA) (or Confidentiality Agreements) may be entered into for such payments, to ensure appropriate confidentiality obligations apply to both parties.  NDA’s must not be utilised to contravene any legislative requirements or obligations, such as the Public Interest Disclosure Act 2010 or the Crime and Corruption Act 2021.</w:t>
      </w:r>
    </w:p>
    <w:p w14:paraId="5D289310" w14:textId="77777777" w:rsidR="00E25EF8" w:rsidRDefault="00E25EF8" w:rsidP="00E25EF8"/>
    <w:p w14:paraId="789EAAB2" w14:textId="77777777" w:rsidR="00CC513A" w:rsidRDefault="0074567E" w:rsidP="004A594F">
      <w:pPr>
        <w:pStyle w:val="Heading20"/>
        <w:numPr>
          <w:ilvl w:val="0"/>
          <w:numId w:val="15"/>
        </w:numPr>
        <w:ind w:left="426" w:hanging="426"/>
        <w:jc w:val="both"/>
      </w:pPr>
      <w:bookmarkStart w:id="7" w:name="_Toc183160084"/>
      <w:r>
        <w:t>Definitions</w:t>
      </w:r>
      <w:bookmarkEnd w:id="7"/>
      <w:r>
        <w:t xml:space="preserve"> </w:t>
      </w:r>
    </w:p>
    <w:p w14:paraId="7A075F5A" w14:textId="77777777" w:rsidR="00AE6F0C" w:rsidRDefault="00AE6F0C" w:rsidP="004A594F">
      <w:pPr>
        <w:jc w:val="both"/>
      </w:pPr>
      <w:r w:rsidRPr="00AE6F0C">
        <w:rPr>
          <w:b/>
          <w:bCs/>
        </w:rPr>
        <w:t>Chief Executive Officer</w:t>
      </w:r>
      <w:r>
        <w:t xml:space="preserve"> is who is appointment held under section 194 of the Act. This includes any person acting in this position.</w:t>
      </w:r>
    </w:p>
    <w:p w14:paraId="07E20718" w14:textId="77777777" w:rsidR="00AE6F0C" w:rsidRDefault="00AE6F0C" w:rsidP="004A594F">
      <w:pPr>
        <w:jc w:val="both"/>
      </w:pPr>
    </w:p>
    <w:p w14:paraId="0536DFE4" w14:textId="77777777" w:rsidR="00AE6F0C" w:rsidRDefault="00AE6F0C" w:rsidP="004A594F">
      <w:pPr>
        <w:jc w:val="both"/>
      </w:pPr>
      <w:r w:rsidRPr="00AE6F0C">
        <w:rPr>
          <w:b/>
          <w:bCs/>
        </w:rPr>
        <w:t>Council</w:t>
      </w:r>
      <w:r>
        <w:t xml:space="preserve"> means Etheridge Shire Council </w:t>
      </w:r>
    </w:p>
    <w:p w14:paraId="2537DBD6" w14:textId="77777777" w:rsidR="00AE6F0C" w:rsidRDefault="00AE6F0C" w:rsidP="004A594F">
      <w:pPr>
        <w:jc w:val="both"/>
      </w:pPr>
    </w:p>
    <w:p w14:paraId="6AF96872" w14:textId="77777777" w:rsidR="00AE6F0C" w:rsidRDefault="00AE6F0C" w:rsidP="004A594F">
      <w:pPr>
        <w:jc w:val="both"/>
      </w:pPr>
      <w:proofErr w:type="gramStart"/>
      <w:r w:rsidRPr="00AE6F0C">
        <w:rPr>
          <w:b/>
          <w:bCs/>
        </w:rPr>
        <w:t>Councillor</w:t>
      </w:r>
      <w:proofErr w:type="gramEnd"/>
      <w:r>
        <w:t xml:space="preserve"> are all elected representatives who hold (current) office with Council, including the </w:t>
      </w:r>
      <w:proofErr w:type="gramStart"/>
      <w:r>
        <w:t>Mayor</w:t>
      </w:r>
      <w:proofErr w:type="gramEnd"/>
      <w:r>
        <w:t xml:space="preserve"> </w:t>
      </w:r>
    </w:p>
    <w:p w14:paraId="7D28D718" w14:textId="77777777" w:rsidR="00AE6F0C" w:rsidRDefault="00AE6F0C" w:rsidP="004A594F">
      <w:pPr>
        <w:jc w:val="both"/>
      </w:pPr>
    </w:p>
    <w:p w14:paraId="22D0B353" w14:textId="77777777" w:rsidR="00AE6F0C" w:rsidRDefault="00AE6F0C" w:rsidP="004A594F">
      <w:pPr>
        <w:jc w:val="both"/>
      </w:pPr>
      <w:r w:rsidRPr="00AE6F0C">
        <w:rPr>
          <w:b/>
          <w:bCs/>
        </w:rPr>
        <w:t>Employee/s</w:t>
      </w:r>
      <w:r>
        <w:t xml:space="preserve"> includes a person who carries out work in any capacity for Council (i.e. permanent employee (including those engaged through an employment contract)</w:t>
      </w:r>
    </w:p>
    <w:p w14:paraId="3B7C3784" w14:textId="77777777" w:rsidR="00AE6F0C" w:rsidRDefault="00AE6F0C" w:rsidP="004A594F">
      <w:pPr>
        <w:jc w:val="both"/>
      </w:pPr>
    </w:p>
    <w:p w14:paraId="276A9DEB" w14:textId="77777777" w:rsidR="00AE6F0C" w:rsidRPr="00AE6F0C" w:rsidRDefault="00AE6F0C" w:rsidP="004A594F">
      <w:pPr>
        <w:jc w:val="both"/>
        <w:rPr>
          <w:i/>
          <w:iCs/>
        </w:rPr>
      </w:pPr>
      <w:r w:rsidRPr="00AE6F0C">
        <w:rPr>
          <w:i/>
          <w:iCs/>
        </w:rPr>
        <w:t>*</w:t>
      </w:r>
      <w:proofErr w:type="gramStart"/>
      <w:r w:rsidRPr="00AE6F0C">
        <w:rPr>
          <w:i/>
          <w:iCs/>
        </w:rPr>
        <w:t>for</w:t>
      </w:r>
      <w:proofErr w:type="gramEnd"/>
      <w:r w:rsidRPr="00AE6F0C">
        <w:rPr>
          <w:i/>
          <w:iCs/>
        </w:rPr>
        <w:t xml:space="preserve"> the purposes of this policy, employee does not include volunteers, labour hire, casual employees or contractors and subcontractors</w:t>
      </w:r>
    </w:p>
    <w:p w14:paraId="4039077A" w14:textId="77777777" w:rsidR="00AE6F0C" w:rsidRDefault="00AE6F0C" w:rsidP="004A594F">
      <w:pPr>
        <w:jc w:val="both"/>
      </w:pPr>
    </w:p>
    <w:p w14:paraId="66E0BB9E" w14:textId="77777777" w:rsidR="00AE6F0C" w:rsidRDefault="00AE6F0C" w:rsidP="004A594F">
      <w:pPr>
        <w:jc w:val="both"/>
      </w:pPr>
      <w:r w:rsidRPr="00AE6F0C">
        <w:rPr>
          <w:b/>
          <w:bCs/>
        </w:rPr>
        <w:t>Ex-Gratia Payments</w:t>
      </w:r>
      <w:r>
        <w:t xml:space="preserve"> is a discretionary, voluntary payment made by Council without any legal or contractual obligation. These payments are made as an act of goodwill and are not an admission of liability or wrongdoing by the organisation.</w:t>
      </w:r>
    </w:p>
    <w:p w14:paraId="568A969B" w14:textId="77777777" w:rsidR="00AE6F0C" w:rsidRDefault="00AE6F0C" w:rsidP="004A594F">
      <w:pPr>
        <w:jc w:val="both"/>
      </w:pPr>
    </w:p>
    <w:p w14:paraId="1DC09BF7" w14:textId="77777777" w:rsidR="00AE6F0C" w:rsidRPr="00AE6F0C" w:rsidRDefault="00AE6F0C" w:rsidP="004A594F">
      <w:pPr>
        <w:jc w:val="both"/>
        <w:rPr>
          <w:i/>
          <w:iCs/>
        </w:rPr>
      </w:pPr>
      <w:r w:rsidRPr="00AE6F0C">
        <w:rPr>
          <w:i/>
          <w:iCs/>
        </w:rPr>
        <w:t>*These payments are separate, and should not be confused with, donations, grants or other general payments related to such incidents as floods or natural disasters.</w:t>
      </w:r>
    </w:p>
    <w:p w14:paraId="012C1C8A" w14:textId="77777777" w:rsidR="00AE6F0C" w:rsidRDefault="00AE6F0C" w:rsidP="004A594F">
      <w:pPr>
        <w:jc w:val="both"/>
      </w:pPr>
    </w:p>
    <w:p w14:paraId="144F8A64" w14:textId="77777777" w:rsidR="00E25EF8" w:rsidRDefault="00AE6F0C" w:rsidP="004A594F">
      <w:pPr>
        <w:jc w:val="both"/>
      </w:pPr>
      <w:r w:rsidRPr="00AE6F0C">
        <w:rPr>
          <w:b/>
          <w:bCs/>
        </w:rPr>
        <w:t>Terminated Employee</w:t>
      </w:r>
      <w:r>
        <w:t xml:space="preserve"> is an employee who has either resigned or their employment has been terminated.</w:t>
      </w:r>
    </w:p>
    <w:p w14:paraId="4A7CD0E8" w14:textId="77777777" w:rsidR="00E25EF8" w:rsidRDefault="00E25EF8" w:rsidP="004A594F">
      <w:pPr>
        <w:jc w:val="both"/>
      </w:pPr>
    </w:p>
    <w:p w14:paraId="31672A90" w14:textId="77777777" w:rsidR="00CC513A" w:rsidRDefault="0074567E" w:rsidP="004A594F">
      <w:pPr>
        <w:pStyle w:val="Heading20"/>
        <w:numPr>
          <w:ilvl w:val="0"/>
          <w:numId w:val="15"/>
        </w:numPr>
        <w:ind w:left="426" w:hanging="426"/>
        <w:jc w:val="both"/>
      </w:pPr>
      <w:bookmarkStart w:id="8" w:name="_Toc183160085"/>
      <w:r>
        <w:t>Related Legislation, Documents and References</w:t>
      </w:r>
      <w:bookmarkEnd w:id="8"/>
    </w:p>
    <w:p w14:paraId="5DD8A30A" w14:textId="77777777" w:rsidR="00AE6F0C" w:rsidRDefault="00AE6F0C" w:rsidP="004A594F">
      <w:pPr>
        <w:numPr>
          <w:ilvl w:val="0"/>
          <w:numId w:val="48"/>
        </w:numPr>
        <w:jc w:val="both"/>
        <w:rPr>
          <w:i/>
          <w:iCs/>
        </w:rPr>
      </w:pPr>
      <w:r w:rsidRPr="008F0C05">
        <w:rPr>
          <w:i/>
          <w:iCs/>
        </w:rPr>
        <w:t>Public Sector Ethics Act 1994</w:t>
      </w:r>
    </w:p>
    <w:p w14:paraId="5AF39078" w14:textId="77777777" w:rsidR="00AE6F0C" w:rsidRDefault="00AE6F0C" w:rsidP="004A594F">
      <w:pPr>
        <w:numPr>
          <w:ilvl w:val="0"/>
          <w:numId w:val="48"/>
        </w:numPr>
        <w:jc w:val="both"/>
        <w:rPr>
          <w:i/>
          <w:iCs/>
        </w:rPr>
      </w:pPr>
      <w:r w:rsidRPr="007C4351">
        <w:rPr>
          <w:i/>
          <w:iCs/>
        </w:rPr>
        <w:t>Crime and Corruption Act 2001</w:t>
      </w:r>
    </w:p>
    <w:p w14:paraId="4CFA43A1" w14:textId="77777777" w:rsidR="00AE6F0C" w:rsidRDefault="00AE6F0C" w:rsidP="004A594F">
      <w:pPr>
        <w:numPr>
          <w:ilvl w:val="0"/>
          <w:numId w:val="48"/>
        </w:numPr>
        <w:jc w:val="both"/>
        <w:rPr>
          <w:i/>
          <w:iCs/>
        </w:rPr>
      </w:pPr>
      <w:r>
        <w:rPr>
          <w:i/>
          <w:iCs/>
        </w:rPr>
        <w:t>Civil Liabilities Act 2003</w:t>
      </w:r>
    </w:p>
    <w:p w14:paraId="380150E1" w14:textId="77777777" w:rsidR="00AE6F0C" w:rsidRPr="008F0C05" w:rsidRDefault="00AE6F0C" w:rsidP="004A594F">
      <w:pPr>
        <w:numPr>
          <w:ilvl w:val="0"/>
          <w:numId w:val="48"/>
        </w:numPr>
        <w:jc w:val="both"/>
        <w:rPr>
          <w:i/>
          <w:iCs/>
        </w:rPr>
      </w:pPr>
      <w:r w:rsidRPr="007C4351">
        <w:rPr>
          <w:i/>
          <w:iCs/>
        </w:rPr>
        <w:t>Public Interest Disclosure Act 20</w:t>
      </w:r>
      <w:r>
        <w:rPr>
          <w:i/>
          <w:iCs/>
        </w:rPr>
        <w:t>10</w:t>
      </w:r>
    </w:p>
    <w:p w14:paraId="258895F7" w14:textId="77777777" w:rsidR="00AE6F0C" w:rsidRPr="008F0C05" w:rsidRDefault="00AE6F0C" w:rsidP="004A594F">
      <w:pPr>
        <w:numPr>
          <w:ilvl w:val="0"/>
          <w:numId w:val="48"/>
        </w:numPr>
        <w:jc w:val="both"/>
        <w:rPr>
          <w:i/>
          <w:iCs/>
        </w:rPr>
      </w:pPr>
      <w:r w:rsidRPr="008F0C05">
        <w:rPr>
          <w:i/>
          <w:iCs/>
        </w:rPr>
        <w:t>Information Privacy Act 2009</w:t>
      </w:r>
    </w:p>
    <w:p w14:paraId="03EDF07D" w14:textId="77777777" w:rsidR="00AE6F0C" w:rsidRPr="008F0C05" w:rsidRDefault="00AE6F0C" w:rsidP="004A594F">
      <w:pPr>
        <w:numPr>
          <w:ilvl w:val="0"/>
          <w:numId w:val="48"/>
        </w:numPr>
        <w:jc w:val="both"/>
        <w:rPr>
          <w:i/>
          <w:iCs/>
        </w:rPr>
      </w:pPr>
      <w:r w:rsidRPr="008F0C05">
        <w:rPr>
          <w:i/>
          <w:iCs/>
        </w:rPr>
        <w:t>Local Government Act 2009</w:t>
      </w:r>
    </w:p>
    <w:p w14:paraId="5A2F9106" w14:textId="77777777" w:rsidR="00AE6F0C" w:rsidRDefault="00AE6F0C" w:rsidP="004A594F">
      <w:pPr>
        <w:numPr>
          <w:ilvl w:val="0"/>
          <w:numId w:val="48"/>
        </w:numPr>
        <w:jc w:val="both"/>
        <w:rPr>
          <w:i/>
          <w:iCs/>
        </w:rPr>
      </w:pPr>
      <w:r w:rsidRPr="008F0C05">
        <w:rPr>
          <w:i/>
          <w:iCs/>
        </w:rPr>
        <w:t>Local Government Regulations 2012</w:t>
      </w:r>
    </w:p>
    <w:p w14:paraId="6DDB740F" w14:textId="77777777" w:rsidR="00AE6F0C" w:rsidRDefault="00AE6F0C" w:rsidP="004A594F">
      <w:pPr>
        <w:numPr>
          <w:ilvl w:val="0"/>
          <w:numId w:val="48"/>
        </w:numPr>
        <w:jc w:val="both"/>
        <w:rPr>
          <w:i/>
          <w:iCs/>
        </w:rPr>
      </w:pPr>
      <w:r w:rsidRPr="008645E0">
        <w:t>Crime and Corruption Commission publication</w:t>
      </w:r>
      <w:r>
        <w:rPr>
          <w:i/>
          <w:iCs/>
        </w:rPr>
        <w:t xml:space="preserve"> - </w:t>
      </w:r>
      <w:hyperlink r:id="rId11" w:history="1">
        <w:r w:rsidRPr="008645E0">
          <w:rPr>
            <w:rStyle w:val="Hyperlink"/>
            <w:rFonts w:eastAsia="Arial Unicode MS"/>
            <w:i/>
            <w:iCs/>
          </w:rPr>
          <w:t>Prevention-in-focus-Use-of-non-disclosure-agreements-what are-the-corruption-risks-2020.pdf</w:t>
        </w:r>
      </w:hyperlink>
    </w:p>
    <w:p w14:paraId="17005E56" w14:textId="77777777" w:rsidR="00E25EF8" w:rsidRDefault="00E25EF8" w:rsidP="004A594F">
      <w:pPr>
        <w:jc w:val="both"/>
      </w:pPr>
    </w:p>
    <w:p w14:paraId="042FB887" w14:textId="77777777" w:rsidR="00AE6F0C" w:rsidRDefault="00AE6F0C" w:rsidP="004A594F">
      <w:pPr>
        <w:numPr>
          <w:ilvl w:val="0"/>
          <w:numId w:val="48"/>
        </w:numPr>
        <w:jc w:val="both"/>
      </w:pPr>
      <w:r>
        <w:t>Councillor Code of Conduct Policy</w:t>
      </w:r>
    </w:p>
    <w:p w14:paraId="35C6B7C2" w14:textId="77777777" w:rsidR="00AE6F0C" w:rsidRDefault="00AE6F0C" w:rsidP="004A594F">
      <w:pPr>
        <w:numPr>
          <w:ilvl w:val="0"/>
          <w:numId w:val="48"/>
        </w:numPr>
        <w:jc w:val="both"/>
      </w:pPr>
      <w:r>
        <w:t>Code of Conduct (Staff)</w:t>
      </w:r>
    </w:p>
    <w:p w14:paraId="23846778" w14:textId="77777777" w:rsidR="00AE6F0C" w:rsidRDefault="00AE6F0C" w:rsidP="004A594F">
      <w:pPr>
        <w:numPr>
          <w:ilvl w:val="0"/>
          <w:numId w:val="48"/>
        </w:numPr>
        <w:jc w:val="both"/>
      </w:pPr>
      <w:r>
        <w:t>Human Resource Procedure Manual (terminations)</w:t>
      </w:r>
    </w:p>
    <w:p w14:paraId="29821FD7" w14:textId="77777777" w:rsidR="00AE6F0C" w:rsidRDefault="00AE6F0C" w:rsidP="004A594F">
      <w:pPr>
        <w:numPr>
          <w:ilvl w:val="0"/>
          <w:numId w:val="48"/>
        </w:numPr>
        <w:jc w:val="both"/>
      </w:pPr>
      <w:r>
        <w:t>Complaints Management Policy/Procedure</w:t>
      </w:r>
    </w:p>
    <w:p w14:paraId="000C4C42" w14:textId="77777777" w:rsidR="00AE6F0C" w:rsidRDefault="00AE6F0C" w:rsidP="004A594F">
      <w:pPr>
        <w:numPr>
          <w:ilvl w:val="0"/>
          <w:numId w:val="48"/>
        </w:numPr>
        <w:jc w:val="both"/>
      </w:pPr>
      <w:r>
        <w:t>Disciplinary Procedure</w:t>
      </w:r>
    </w:p>
    <w:p w14:paraId="72D62896" w14:textId="77777777" w:rsidR="00AE6F0C" w:rsidRDefault="00AE6F0C" w:rsidP="004A594F">
      <w:pPr>
        <w:numPr>
          <w:ilvl w:val="0"/>
          <w:numId w:val="48"/>
        </w:numPr>
        <w:jc w:val="both"/>
      </w:pPr>
      <w:r>
        <w:t>Records Management Policy</w:t>
      </w:r>
    </w:p>
    <w:p w14:paraId="1CDFED92" w14:textId="77777777" w:rsidR="00E25EF8" w:rsidRDefault="00E25EF8" w:rsidP="004A594F">
      <w:pPr>
        <w:jc w:val="both"/>
      </w:pPr>
    </w:p>
    <w:p w14:paraId="55A9AA84" w14:textId="77777777" w:rsidR="00E25EF8" w:rsidRDefault="00E25EF8" w:rsidP="004A594F">
      <w:pPr>
        <w:jc w:val="both"/>
      </w:pPr>
    </w:p>
    <w:p w14:paraId="68FF77CC" w14:textId="77777777" w:rsidR="009F360A" w:rsidRDefault="009F360A" w:rsidP="004A594F">
      <w:pPr>
        <w:jc w:val="both"/>
      </w:pPr>
    </w:p>
    <w:sectPr w:rsidR="009F360A" w:rsidSect="007E2B85">
      <w:headerReference w:type="default" r:id="rId12"/>
      <w:footerReference w:type="default" r:id="rId13"/>
      <w:pgSz w:w="11900" w:h="16840"/>
      <w:pgMar w:top="1701" w:right="1418" w:bottom="1247"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204F" w14:textId="77777777" w:rsidR="003F64A4" w:rsidRDefault="003F64A4">
      <w:r>
        <w:separator/>
      </w:r>
    </w:p>
  </w:endnote>
  <w:endnote w:type="continuationSeparator" w:id="0">
    <w:p w14:paraId="22528694" w14:textId="77777777" w:rsidR="003F64A4" w:rsidRDefault="003F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B575" w14:textId="6751EECE" w:rsidR="0074567E" w:rsidRDefault="00852A82" w:rsidP="0035650E">
    <w:pPr>
      <w:pStyle w:val="Footer"/>
      <w:tabs>
        <w:tab w:val="right" w:pos="9064"/>
      </w:tabs>
    </w:pPr>
    <w:r>
      <w:t xml:space="preserve">C058 - </w:t>
    </w:r>
    <w:r w:rsidR="00E25EF8">
      <w:t>Ex-Gratia (Special) Payments Policy</w:t>
    </w:r>
    <w:r w:rsidR="00E25EF8">
      <w:tab/>
    </w:r>
    <w:r w:rsidR="0074567E">
      <w:tab/>
    </w:r>
    <w:r w:rsidR="0074567E">
      <w:tab/>
    </w:r>
    <w:r w:rsidR="0074567E">
      <w:fldChar w:fldCharType="begin"/>
    </w:r>
    <w:r w:rsidR="0074567E">
      <w:instrText xml:space="preserve"> PAGE   \* MERGEFORMAT </w:instrText>
    </w:r>
    <w:r w:rsidR="0074567E">
      <w:fldChar w:fldCharType="separate"/>
    </w:r>
    <w:r w:rsidR="00467CFA">
      <w:rPr>
        <w:noProof/>
      </w:rPr>
      <w:t>2</w:t>
    </w:r>
    <w:r w:rsidR="0074567E">
      <w:rPr>
        <w:noProof/>
      </w:rPr>
      <w:fldChar w:fldCharType="end"/>
    </w:r>
  </w:p>
  <w:p w14:paraId="3AFBFDFE" w14:textId="77777777" w:rsidR="0074567E" w:rsidRPr="003B158E" w:rsidRDefault="0074567E" w:rsidP="003B1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C3711" w14:textId="77777777" w:rsidR="003F64A4" w:rsidRDefault="003F64A4">
      <w:r>
        <w:separator/>
      </w:r>
    </w:p>
  </w:footnote>
  <w:footnote w:type="continuationSeparator" w:id="0">
    <w:p w14:paraId="6A9C13F3" w14:textId="77777777" w:rsidR="003F64A4" w:rsidRDefault="003F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E7E2" w14:textId="3C6C4785" w:rsidR="0074567E" w:rsidRDefault="00A97712">
    <w:pPr>
      <w:pStyle w:val="Header"/>
    </w:pPr>
    <w:r>
      <w:rPr>
        <w:noProof/>
      </w:rPr>
      <w:drawing>
        <wp:anchor distT="0" distB="0" distL="114300" distR="114300" simplePos="0" relativeHeight="251657728" behindDoc="0" locked="0" layoutInCell="1" allowOverlap="1" wp14:anchorId="0E230F75" wp14:editId="7C113D5E">
          <wp:simplePos x="0" y="0"/>
          <wp:positionH relativeFrom="column">
            <wp:posOffset>-900430</wp:posOffset>
          </wp:positionH>
          <wp:positionV relativeFrom="paragraph">
            <wp:posOffset>-360045</wp:posOffset>
          </wp:positionV>
          <wp:extent cx="7585710" cy="1080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1BC1336"/>
    <w:lvl w:ilvl="0">
      <w:numFmt w:val="bullet"/>
      <w:lvlText w:val="*"/>
      <w:lvlJc w:val="left"/>
    </w:lvl>
  </w:abstractNum>
  <w:abstractNum w:abstractNumId="1" w15:restartNumberingAfterBreak="0">
    <w:nsid w:val="007411D4"/>
    <w:multiLevelType w:val="multilevel"/>
    <w:tmpl w:val="68947E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A5091D"/>
    <w:multiLevelType w:val="hybridMultilevel"/>
    <w:tmpl w:val="BD4A5718"/>
    <w:lvl w:ilvl="0" w:tplc="04090001">
      <w:start w:val="1"/>
      <w:numFmt w:val="bullet"/>
      <w:lvlText w:val=""/>
      <w:lvlJc w:val="left"/>
      <w:pPr>
        <w:tabs>
          <w:tab w:val="num" w:pos="720"/>
        </w:tabs>
        <w:ind w:left="720" w:hanging="360"/>
      </w:pPr>
      <w:rPr>
        <w:rFonts w:ascii="Symbol" w:hAnsi="Symbol" w:hint="default"/>
      </w:rPr>
    </w:lvl>
    <w:lvl w:ilvl="1" w:tplc="1C9A94F6">
      <w:start w:val="1"/>
      <w:numFmt w:val="bullet"/>
      <w:lvlText w:val=""/>
      <w:lvlJc w:val="left"/>
      <w:pPr>
        <w:tabs>
          <w:tab w:val="num" w:pos="1590"/>
        </w:tabs>
        <w:ind w:left="1590" w:hanging="51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87AC7"/>
    <w:multiLevelType w:val="multilevel"/>
    <w:tmpl w:val="935A48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2915AE"/>
    <w:multiLevelType w:val="multilevel"/>
    <w:tmpl w:val="ED742C42"/>
    <w:lvl w:ilvl="0">
      <w:start w:val="1"/>
      <w:numFmt w:val="decimal"/>
      <w:lvlText w:val="%1."/>
      <w:lvlJc w:val="left"/>
      <w:pPr>
        <w:ind w:left="360" w:hanging="360"/>
      </w:p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BD0F46"/>
    <w:multiLevelType w:val="hybridMultilevel"/>
    <w:tmpl w:val="2036078E"/>
    <w:lvl w:ilvl="0" w:tplc="DA50A6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F63886"/>
    <w:multiLevelType w:val="hybridMultilevel"/>
    <w:tmpl w:val="5FE2C42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7C129C"/>
    <w:multiLevelType w:val="hybridMultilevel"/>
    <w:tmpl w:val="2BA8327A"/>
    <w:lvl w:ilvl="0" w:tplc="CC08CF3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D033FFC"/>
    <w:multiLevelType w:val="multilevel"/>
    <w:tmpl w:val="915CF1D8"/>
    <w:lvl w:ilvl="0">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948D1"/>
    <w:multiLevelType w:val="hybridMultilevel"/>
    <w:tmpl w:val="6E8C78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B71577"/>
    <w:multiLevelType w:val="hybridMultilevel"/>
    <w:tmpl w:val="58202484"/>
    <w:lvl w:ilvl="0" w:tplc="7AD26D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447A80"/>
    <w:multiLevelType w:val="hybridMultilevel"/>
    <w:tmpl w:val="AA2A9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B78D9"/>
    <w:multiLevelType w:val="hybridMultilevel"/>
    <w:tmpl w:val="1CEA8192"/>
    <w:lvl w:ilvl="0" w:tplc="6F2EB4C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D0A05DA"/>
    <w:multiLevelType w:val="hybridMultilevel"/>
    <w:tmpl w:val="4808BBE4"/>
    <w:lvl w:ilvl="0" w:tplc="B1B26536">
      <w:start w:val="1"/>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52367C"/>
    <w:multiLevelType w:val="hybridMultilevel"/>
    <w:tmpl w:val="BF1AC2A4"/>
    <w:lvl w:ilvl="0" w:tplc="96A839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BA7217"/>
    <w:multiLevelType w:val="hybridMultilevel"/>
    <w:tmpl w:val="49D877D4"/>
    <w:lvl w:ilvl="0" w:tplc="B1B26536">
      <w:start w:val="1"/>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CC27A1"/>
    <w:multiLevelType w:val="hybridMultilevel"/>
    <w:tmpl w:val="F410D1B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56172"/>
    <w:multiLevelType w:val="hybridMultilevel"/>
    <w:tmpl w:val="ACC479BE"/>
    <w:lvl w:ilvl="0" w:tplc="2FA4F9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BA3BF8"/>
    <w:multiLevelType w:val="hybridMultilevel"/>
    <w:tmpl w:val="27A43826"/>
    <w:lvl w:ilvl="0" w:tplc="BD46B138">
      <w:start w:val="1"/>
      <w:numFmt w:val="lowerLetter"/>
      <w:lvlText w:val="(%1)"/>
      <w:lvlJc w:val="left"/>
      <w:pPr>
        <w:tabs>
          <w:tab w:val="num" w:pos="750"/>
        </w:tabs>
        <w:ind w:left="750" w:hanging="390"/>
      </w:pPr>
      <w:rPr>
        <w:rFonts w:hint="default"/>
        <w:b/>
        <w:i/>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79A5A75"/>
    <w:multiLevelType w:val="hybridMultilevel"/>
    <w:tmpl w:val="FA96E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697E0F"/>
    <w:multiLevelType w:val="hybridMultilevel"/>
    <w:tmpl w:val="9CF013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554BA8"/>
    <w:multiLevelType w:val="hybridMultilevel"/>
    <w:tmpl w:val="6060BD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04581"/>
    <w:multiLevelType w:val="hybridMultilevel"/>
    <w:tmpl w:val="9C5C1B08"/>
    <w:lvl w:ilvl="0" w:tplc="DB0AA1DA">
      <w:start w:val="1"/>
      <w:numFmt w:val="lowerLetter"/>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3" w15:restartNumberingAfterBreak="0">
    <w:nsid w:val="46CD6C21"/>
    <w:multiLevelType w:val="hybridMultilevel"/>
    <w:tmpl w:val="C442B2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954AAD"/>
    <w:multiLevelType w:val="multilevel"/>
    <w:tmpl w:val="DC02C8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1F6D9E"/>
    <w:multiLevelType w:val="hybridMultilevel"/>
    <w:tmpl w:val="46CE9E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0519C"/>
    <w:multiLevelType w:val="hybridMultilevel"/>
    <w:tmpl w:val="29F2796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C14C8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92A61C0"/>
    <w:multiLevelType w:val="hybridMultilevel"/>
    <w:tmpl w:val="7AEA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7F19D9"/>
    <w:multiLevelType w:val="hybridMultilevel"/>
    <w:tmpl w:val="7C3C91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9812AF"/>
    <w:multiLevelType w:val="hybridMultilevel"/>
    <w:tmpl w:val="D5D041EC"/>
    <w:lvl w:ilvl="0" w:tplc="B73E6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A2481E"/>
    <w:multiLevelType w:val="hybridMultilevel"/>
    <w:tmpl w:val="F34A09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803802"/>
    <w:multiLevelType w:val="hybridMultilevel"/>
    <w:tmpl w:val="E6E21CE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18B2B13"/>
    <w:multiLevelType w:val="hybridMultilevel"/>
    <w:tmpl w:val="606C7D94"/>
    <w:lvl w:ilvl="0" w:tplc="4844BAE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C43EA"/>
    <w:multiLevelType w:val="hybridMultilevel"/>
    <w:tmpl w:val="5888BB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563F20"/>
    <w:multiLevelType w:val="hybridMultilevel"/>
    <w:tmpl w:val="58F0566A"/>
    <w:lvl w:ilvl="0" w:tplc="C950AD86">
      <w:start w:val="1"/>
      <w:numFmt w:val="lowerLetter"/>
      <w:lvlText w:val="(%1)"/>
      <w:lvlJc w:val="left"/>
      <w:pPr>
        <w:tabs>
          <w:tab w:val="num" w:pos="1650"/>
        </w:tabs>
        <w:ind w:left="1650" w:hanging="360"/>
      </w:pPr>
      <w:rPr>
        <w:rFonts w:hint="default"/>
      </w:rPr>
    </w:lvl>
    <w:lvl w:ilvl="1" w:tplc="0C090019" w:tentative="1">
      <w:start w:val="1"/>
      <w:numFmt w:val="lowerLetter"/>
      <w:lvlText w:val="%2."/>
      <w:lvlJc w:val="left"/>
      <w:pPr>
        <w:tabs>
          <w:tab w:val="num" w:pos="2370"/>
        </w:tabs>
        <w:ind w:left="2370" w:hanging="360"/>
      </w:pPr>
    </w:lvl>
    <w:lvl w:ilvl="2" w:tplc="0C09001B" w:tentative="1">
      <w:start w:val="1"/>
      <w:numFmt w:val="lowerRoman"/>
      <w:lvlText w:val="%3."/>
      <w:lvlJc w:val="right"/>
      <w:pPr>
        <w:tabs>
          <w:tab w:val="num" w:pos="3090"/>
        </w:tabs>
        <w:ind w:left="3090" w:hanging="180"/>
      </w:pPr>
    </w:lvl>
    <w:lvl w:ilvl="3" w:tplc="0C09000F" w:tentative="1">
      <w:start w:val="1"/>
      <w:numFmt w:val="decimal"/>
      <w:lvlText w:val="%4."/>
      <w:lvlJc w:val="left"/>
      <w:pPr>
        <w:tabs>
          <w:tab w:val="num" w:pos="3810"/>
        </w:tabs>
        <w:ind w:left="3810" w:hanging="360"/>
      </w:pPr>
    </w:lvl>
    <w:lvl w:ilvl="4" w:tplc="0C090019" w:tentative="1">
      <w:start w:val="1"/>
      <w:numFmt w:val="lowerLetter"/>
      <w:lvlText w:val="%5."/>
      <w:lvlJc w:val="left"/>
      <w:pPr>
        <w:tabs>
          <w:tab w:val="num" w:pos="4530"/>
        </w:tabs>
        <w:ind w:left="4530" w:hanging="360"/>
      </w:pPr>
    </w:lvl>
    <w:lvl w:ilvl="5" w:tplc="0C09001B" w:tentative="1">
      <w:start w:val="1"/>
      <w:numFmt w:val="lowerRoman"/>
      <w:lvlText w:val="%6."/>
      <w:lvlJc w:val="right"/>
      <w:pPr>
        <w:tabs>
          <w:tab w:val="num" w:pos="5250"/>
        </w:tabs>
        <w:ind w:left="5250" w:hanging="180"/>
      </w:pPr>
    </w:lvl>
    <w:lvl w:ilvl="6" w:tplc="0C09000F" w:tentative="1">
      <w:start w:val="1"/>
      <w:numFmt w:val="decimal"/>
      <w:lvlText w:val="%7."/>
      <w:lvlJc w:val="left"/>
      <w:pPr>
        <w:tabs>
          <w:tab w:val="num" w:pos="5970"/>
        </w:tabs>
        <w:ind w:left="5970" w:hanging="360"/>
      </w:pPr>
    </w:lvl>
    <w:lvl w:ilvl="7" w:tplc="0C090019" w:tentative="1">
      <w:start w:val="1"/>
      <w:numFmt w:val="lowerLetter"/>
      <w:lvlText w:val="%8."/>
      <w:lvlJc w:val="left"/>
      <w:pPr>
        <w:tabs>
          <w:tab w:val="num" w:pos="6690"/>
        </w:tabs>
        <w:ind w:left="6690" w:hanging="360"/>
      </w:pPr>
    </w:lvl>
    <w:lvl w:ilvl="8" w:tplc="0C09001B" w:tentative="1">
      <w:start w:val="1"/>
      <w:numFmt w:val="lowerRoman"/>
      <w:lvlText w:val="%9."/>
      <w:lvlJc w:val="right"/>
      <w:pPr>
        <w:tabs>
          <w:tab w:val="num" w:pos="7410"/>
        </w:tabs>
        <w:ind w:left="7410" w:hanging="180"/>
      </w:pPr>
    </w:lvl>
  </w:abstractNum>
  <w:abstractNum w:abstractNumId="36" w15:restartNumberingAfterBreak="0">
    <w:nsid w:val="797A003A"/>
    <w:multiLevelType w:val="hybridMultilevel"/>
    <w:tmpl w:val="CF544FB0"/>
    <w:lvl w:ilvl="0" w:tplc="5EB00308">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BE135F0"/>
    <w:multiLevelType w:val="hybridMultilevel"/>
    <w:tmpl w:val="F07C67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207F44"/>
    <w:multiLevelType w:val="hybridMultilevel"/>
    <w:tmpl w:val="6DCECFC0"/>
    <w:lvl w:ilvl="0" w:tplc="B73E6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4699408">
    <w:abstractNumId w:val="18"/>
  </w:num>
  <w:num w:numId="2" w16cid:durableId="1729691848">
    <w:abstractNumId w:val="32"/>
  </w:num>
  <w:num w:numId="3" w16cid:durableId="906694345">
    <w:abstractNumId w:val="25"/>
  </w:num>
  <w:num w:numId="4" w16cid:durableId="1482498150">
    <w:abstractNumId w:val="21"/>
  </w:num>
  <w:num w:numId="5" w16cid:durableId="628588332">
    <w:abstractNumId w:val="29"/>
  </w:num>
  <w:num w:numId="6" w16cid:durableId="514152680">
    <w:abstractNumId w:val="5"/>
  </w:num>
  <w:num w:numId="7" w16cid:durableId="2006392027">
    <w:abstractNumId w:val="7"/>
  </w:num>
  <w:num w:numId="8" w16cid:durableId="902712898">
    <w:abstractNumId w:val="22"/>
  </w:num>
  <w:num w:numId="9" w16cid:durableId="181476524">
    <w:abstractNumId w:val="12"/>
  </w:num>
  <w:num w:numId="10" w16cid:durableId="575357979">
    <w:abstractNumId w:val="35"/>
  </w:num>
  <w:num w:numId="11" w16cid:durableId="9922799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2" w16cid:durableId="2090733066">
    <w:abstractNumId w:val="36"/>
  </w:num>
  <w:num w:numId="13" w16cid:durableId="1415932245">
    <w:abstractNumId w:val="16"/>
  </w:num>
  <w:num w:numId="14" w16cid:durableId="773786592">
    <w:abstractNumId w:val="2"/>
  </w:num>
  <w:num w:numId="15" w16cid:durableId="1007638084">
    <w:abstractNumId w:val="4"/>
  </w:num>
  <w:num w:numId="16" w16cid:durableId="920256655">
    <w:abstractNumId w:val="23"/>
  </w:num>
  <w:num w:numId="17" w16cid:durableId="455418339">
    <w:abstractNumId w:val="4"/>
  </w:num>
  <w:num w:numId="18" w16cid:durableId="1036470811">
    <w:abstractNumId w:val="11"/>
  </w:num>
  <w:num w:numId="19" w16cid:durableId="789858020">
    <w:abstractNumId w:val="15"/>
  </w:num>
  <w:num w:numId="20" w16cid:durableId="1320228510">
    <w:abstractNumId w:val="4"/>
  </w:num>
  <w:num w:numId="21" w16cid:durableId="1889369152">
    <w:abstractNumId w:val="19"/>
  </w:num>
  <w:num w:numId="22" w16cid:durableId="1815753821">
    <w:abstractNumId w:val="31"/>
  </w:num>
  <w:num w:numId="23" w16cid:durableId="95373960">
    <w:abstractNumId w:val="17"/>
  </w:num>
  <w:num w:numId="24" w16cid:durableId="148833809">
    <w:abstractNumId w:val="13"/>
  </w:num>
  <w:num w:numId="25" w16cid:durableId="2025551934">
    <w:abstractNumId w:val="4"/>
  </w:num>
  <w:num w:numId="26" w16cid:durableId="728571718">
    <w:abstractNumId w:val="4"/>
  </w:num>
  <w:num w:numId="27" w16cid:durableId="1970474996">
    <w:abstractNumId w:val="4"/>
  </w:num>
  <w:num w:numId="28" w16cid:durableId="705329541">
    <w:abstractNumId w:val="4"/>
  </w:num>
  <w:num w:numId="29" w16cid:durableId="969474792">
    <w:abstractNumId w:val="4"/>
  </w:num>
  <w:num w:numId="30" w16cid:durableId="814949429">
    <w:abstractNumId w:val="4"/>
  </w:num>
  <w:num w:numId="31" w16cid:durableId="1357270394">
    <w:abstractNumId w:val="4"/>
  </w:num>
  <w:num w:numId="32" w16cid:durableId="2065984196">
    <w:abstractNumId w:val="20"/>
  </w:num>
  <w:num w:numId="33" w16cid:durableId="911817143">
    <w:abstractNumId w:val="14"/>
  </w:num>
  <w:num w:numId="34" w16cid:durableId="1469977769">
    <w:abstractNumId w:val="10"/>
  </w:num>
  <w:num w:numId="35" w16cid:durableId="1150247367">
    <w:abstractNumId w:val="30"/>
  </w:num>
  <w:num w:numId="36" w16cid:durableId="1606764688">
    <w:abstractNumId w:val="38"/>
  </w:num>
  <w:num w:numId="37" w16cid:durableId="50353650">
    <w:abstractNumId w:val="34"/>
  </w:num>
  <w:num w:numId="38" w16cid:durableId="1896314655">
    <w:abstractNumId w:val="26"/>
  </w:num>
  <w:num w:numId="39" w16cid:durableId="779450041">
    <w:abstractNumId w:val="27"/>
  </w:num>
  <w:num w:numId="40" w16cid:durableId="2029872830">
    <w:abstractNumId w:val="24"/>
  </w:num>
  <w:num w:numId="41" w16cid:durableId="1100486172">
    <w:abstractNumId w:val="1"/>
  </w:num>
  <w:num w:numId="42" w16cid:durableId="1924215884">
    <w:abstractNumId w:val="3"/>
  </w:num>
  <w:num w:numId="43" w16cid:durableId="2018117766">
    <w:abstractNumId w:val="6"/>
  </w:num>
  <w:num w:numId="44" w16cid:durableId="1016422375">
    <w:abstractNumId w:val="37"/>
  </w:num>
  <w:num w:numId="45" w16cid:durableId="1920403575">
    <w:abstractNumId w:val="9"/>
  </w:num>
  <w:num w:numId="46" w16cid:durableId="1754160384">
    <w:abstractNumId w:val="28"/>
  </w:num>
  <w:num w:numId="47" w16cid:durableId="78407985">
    <w:abstractNumId w:val="33"/>
  </w:num>
  <w:num w:numId="48" w16cid:durableId="1488740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3A"/>
    <w:rsid w:val="00012C74"/>
    <w:rsid w:val="00017D8F"/>
    <w:rsid w:val="00024115"/>
    <w:rsid w:val="00024D66"/>
    <w:rsid w:val="000430A7"/>
    <w:rsid w:val="000567F4"/>
    <w:rsid w:val="0007351D"/>
    <w:rsid w:val="00093CAE"/>
    <w:rsid w:val="000A4DC9"/>
    <w:rsid w:val="000A58A0"/>
    <w:rsid w:val="000A7582"/>
    <w:rsid w:val="000B22A7"/>
    <w:rsid w:val="000D2947"/>
    <w:rsid w:val="000D6048"/>
    <w:rsid w:val="000E4685"/>
    <w:rsid w:val="000F3E4C"/>
    <w:rsid w:val="00101059"/>
    <w:rsid w:val="001151A4"/>
    <w:rsid w:val="001233AB"/>
    <w:rsid w:val="00143E50"/>
    <w:rsid w:val="00160E90"/>
    <w:rsid w:val="00165666"/>
    <w:rsid w:val="001A3FFE"/>
    <w:rsid w:val="001B398C"/>
    <w:rsid w:val="001C06A6"/>
    <w:rsid w:val="001C34B2"/>
    <w:rsid w:val="001C707E"/>
    <w:rsid w:val="001E3299"/>
    <w:rsid w:val="001F05CD"/>
    <w:rsid w:val="00206C41"/>
    <w:rsid w:val="00212F58"/>
    <w:rsid w:val="00213B19"/>
    <w:rsid w:val="00221142"/>
    <w:rsid w:val="00223146"/>
    <w:rsid w:val="00230CD0"/>
    <w:rsid w:val="00233A2A"/>
    <w:rsid w:val="00235392"/>
    <w:rsid w:val="002A356E"/>
    <w:rsid w:val="002B0577"/>
    <w:rsid w:val="002B10AF"/>
    <w:rsid w:val="002B40AD"/>
    <w:rsid w:val="002C5943"/>
    <w:rsid w:val="002D0969"/>
    <w:rsid w:val="002E2E79"/>
    <w:rsid w:val="002E58AB"/>
    <w:rsid w:val="002F4C1D"/>
    <w:rsid w:val="002F7099"/>
    <w:rsid w:val="00324821"/>
    <w:rsid w:val="00334B48"/>
    <w:rsid w:val="003459F2"/>
    <w:rsid w:val="00346037"/>
    <w:rsid w:val="00351BEE"/>
    <w:rsid w:val="00351EA4"/>
    <w:rsid w:val="0035650E"/>
    <w:rsid w:val="00361BF9"/>
    <w:rsid w:val="00372563"/>
    <w:rsid w:val="00373220"/>
    <w:rsid w:val="003757BE"/>
    <w:rsid w:val="00377A51"/>
    <w:rsid w:val="00377C04"/>
    <w:rsid w:val="003919D2"/>
    <w:rsid w:val="003941DB"/>
    <w:rsid w:val="00397D25"/>
    <w:rsid w:val="003A0D54"/>
    <w:rsid w:val="003A3230"/>
    <w:rsid w:val="003B158E"/>
    <w:rsid w:val="003B68B7"/>
    <w:rsid w:val="003C34CD"/>
    <w:rsid w:val="003E696E"/>
    <w:rsid w:val="003F3EEA"/>
    <w:rsid w:val="003F64A4"/>
    <w:rsid w:val="003F76B7"/>
    <w:rsid w:val="00426817"/>
    <w:rsid w:val="004270CA"/>
    <w:rsid w:val="00456252"/>
    <w:rsid w:val="00467CFA"/>
    <w:rsid w:val="00477E5C"/>
    <w:rsid w:val="0048177B"/>
    <w:rsid w:val="004875CB"/>
    <w:rsid w:val="004914E8"/>
    <w:rsid w:val="004A3455"/>
    <w:rsid w:val="004A594F"/>
    <w:rsid w:val="004A6C03"/>
    <w:rsid w:val="004B137E"/>
    <w:rsid w:val="004B5F7D"/>
    <w:rsid w:val="004D1AD2"/>
    <w:rsid w:val="004D6D93"/>
    <w:rsid w:val="004F5A94"/>
    <w:rsid w:val="004F7814"/>
    <w:rsid w:val="00502B8C"/>
    <w:rsid w:val="005038C7"/>
    <w:rsid w:val="00511F5D"/>
    <w:rsid w:val="00525FD4"/>
    <w:rsid w:val="0054207D"/>
    <w:rsid w:val="00552595"/>
    <w:rsid w:val="005947FE"/>
    <w:rsid w:val="00596179"/>
    <w:rsid w:val="005A5B47"/>
    <w:rsid w:val="005A7665"/>
    <w:rsid w:val="005B272A"/>
    <w:rsid w:val="005C4546"/>
    <w:rsid w:val="005D0761"/>
    <w:rsid w:val="005E19BA"/>
    <w:rsid w:val="005E55BD"/>
    <w:rsid w:val="005F4E1A"/>
    <w:rsid w:val="005F6D3D"/>
    <w:rsid w:val="006122AE"/>
    <w:rsid w:val="00613540"/>
    <w:rsid w:val="0062394C"/>
    <w:rsid w:val="006267B8"/>
    <w:rsid w:val="00632C5F"/>
    <w:rsid w:val="006434C6"/>
    <w:rsid w:val="00646768"/>
    <w:rsid w:val="00665EAF"/>
    <w:rsid w:val="006773E4"/>
    <w:rsid w:val="006837BE"/>
    <w:rsid w:val="00694431"/>
    <w:rsid w:val="006A1DB4"/>
    <w:rsid w:val="006B1084"/>
    <w:rsid w:val="006B25B6"/>
    <w:rsid w:val="006C57C7"/>
    <w:rsid w:val="006D23FA"/>
    <w:rsid w:val="006F30CB"/>
    <w:rsid w:val="00721982"/>
    <w:rsid w:val="007318C6"/>
    <w:rsid w:val="00732ACF"/>
    <w:rsid w:val="00745630"/>
    <w:rsid w:val="0074567E"/>
    <w:rsid w:val="007538E6"/>
    <w:rsid w:val="00757B11"/>
    <w:rsid w:val="0077391B"/>
    <w:rsid w:val="007A3F3B"/>
    <w:rsid w:val="007A53C7"/>
    <w:rsid w:val="007A5E15"/>
    <w:rsid w:val="007B5BC1"/>
    <w:rsid w:val="007C2AA0"/>
    <w:rsid w:val="007D13BA"/>
    <w:rsid w:val="007D3F7C"/>
    <w:rsid w:val="007D4CE6"/>
    <w:rsid w:val="007E0380"/>
    <w:rsid w:val="007E2B85"/>
    <w:rsid w:val="007F1656"/>
    <w:rsid w:val="007F4CD7"/>
    <w:rsid w:val="007F70CA"/>
    <w:rsid w:val="008426EE"/>
    <w:rsid w:val="00845F3C"/>
    <w:rsid w:val="00852A82"/>
    <w:rsid w:val="00854C55"/>
    <w:rsid w:val="008716E7"/>
    <w:rsid w:val="00872411"/>
    <w:rsid w:val="00877D04"/>
    <w:rsid w:val="00881B18"/>
    <w:rsid w:val="00887DED"/>
    <w:rsid w:val="0089310D"/>
    <w:rsid w:val="00896E0F"/>
    <w:rsid w:val="008B26A5"/>
    <w:rsid w:val="009023C3"/>
    <w:rsid w:val="00902FDD"/>
    <w:rsid w:val="00903E6D"/>
    <w:rsid w:val="00925D70"/>
    <w:rsid w:val="009767B9"/>
    <w:rsid w:val="009778EB"/>
    <w:rsid w:val="00980708"/>
    <w:rsid w:val="00983793"/>
    <w:rsid w:val="00995677"/>
    <w:rsid w:val="00996606"/>
    <w:rsid w:val="009A52D6"/>
    <w:rsid w:val="009A679E"/>
    <w:rsid w:val="009B11FE"/>
    <w:rsid w:val="009B29FD"/>
    <w:rsid w:val="009B5D07"/>
    <w:rsid w:val="009B7585"/>
    <w:rsid w:val="009D2883"/>
    <w:rsid w:val="009D6DB3"/>
    <w:rsid w:val="009E03E0"/>
    <w:rsid w:val="009E3F6A"/>
    <w:rsid w:val="009E527A"/>
    <w:rsid w:val="009E5C70"/>
    <w:rsid w:val="009F0BAE"/>
    <w:rsid w:val="009F360A"/>
    <w:rsid w:val="00A12326"/>
    <w:rsid w:val="00A3789C"/>
    <w:rsid w:val="00A426FF"/>
    <w:rsid w:val="00A4558D"/>
    <w:rsid w:val="00A5695C"/>
    <w:rsid w:val="00A92D46"/>
    <w:rsid w:val="00A97712"/>
    <w:rsid w:val="00AB6FDE"/>
    <w:rsid w:val="00AC7D93"/>
    <w:rsid w:val="00AE0B5A"/>
    <w:rsid w:val="00AE240E"/>
    <w:rsid w:val="00AE26E1"/>
    <w:rsid w:val="00AE5710"/>
    <w:rsid w:val="00AE6F0C"/>
    <w:rsid w:val="00AF6D8D"/>
    <w:rsid w:val="00B01C6D"/>
    <w:rsid w:val="00B04A25"/>
    <w:rsid w:val="00B11723"/>
    <w:rsid w:val="00B32685"/>
    <w:rsid w:val="00B358B1"/>
    <w:rsid w:val="00B35A3B"/>
    <w:rsid w:val="00B44121"/>
    <w:rsid w:val="00B46895"/>
    <w:rsid w:val="00B5219B"/>
    <w:rsid w:val="00B57903"/>
    <w:rsid w:val="00B64D4C"/>
    <w:rsid w:val="00B67404"/>
    <w:rsid w:val="00B7202E"/>
    <w:rsid w:val="00B72858"/>
    <w:rsid w:val="00B82C98"/>
    <w:rsid w:val="00B8475B"/>
    <w:rsid w:val="00B93157"/>
    <w:rsid w:val="00BA5A80"/>
    <w:rsid w:val="00BB046F"/>
    <w:rsid w:val="00BB1673"/>
    <w:rsid w:val="00BB2580"/>
    <w:rsid w:val="00BB572B"/>
    <w:rsid w:val="00BC0B8B"/>
    <w:rsid w:val="00BD1D26"/>
    <w:rsid w:val="00BE5E31"/>
    <w:rsid w:val="00C02421"/>
    <w:rsid w:val="00C11C32"/>
    <w:rsid w:val="00C132D8"/>
    <w:rsid w:val="00C14C11"/>
    <w:rsid w:val="00C15237"/>
    <w:rsid w:val="00C609F6"/>
    <w:rsid w:val="00C6705E"/>
    <w:rsid w:val="00C70C80"/>
    <w:rsid w:val="00C8166D"/>
    <w:rsid w:val="00C81807"/>
    <w:rsid w:val="00C853DA"/>
    <w:rsid w:val="00CB5A83"/>
    <w:rsid w:val="00CC262A"/>
    <w:rsid w:val="00CC513A"/>
    <w:rsid w:val="00CE38C9"/>
    <w:rsid w:val="00CF0F76"/>
    <w:rsid w:val="00CF27E7"/>
    <w:rsid w:val="00D15D1D"/>
    <w:rsid w:val="00D260F4"/>
    <w:rsid w:val="00D31FA2"/>
    <w:rsid w:val="00D450E9"/>
    <w:rsid w:val="00D46B52"/>
    <w:rsid w:val="00D517AE"/>
    <w:rsid w:val="00D67353"/>
    <w:rsid w:val="00D7720D"/>
    <w:rsid w:val="00D77528"/>
    <w:rsid w:val="00DA0EB2"/>
    <w:rsid w:val="00DC34E4"/>
    <w:rsid w:val="00E054D1"/>
    <w:rsid w:val="00E25EF8"/>
    <w:rsid w:val="00E34EF7"/>
    <w:rsid w:val="00E40B5E"/>
    <w:rsid w:val="00E500FB"/>
    <w:rsid w:val="00E54EEB"/>
    <w:rsid w:val="00E85F9B"/>
    <w:rsid w:val="00E927B3"/>
    <w:rsid w:val="00EA243F"/>
    <w:rsid w:val="00EA3112"/>
    <w:rsid w:val="00EA45F0"/>
    <w:rsid w:val="00F16A86"/>
    <w:rsid w:val="00F2244B"/>
    <w:rsid w:val="00F25481"/>
    <w:rsid w:val="00F27EDB"/>
    <w:rsid w:val="00F30B64"/>
    <w:rsid w:val="00F42B79"/>
    <w:rsid w:val="00F4623C"/>
    <w:rsid w:val="00F47002"/>
    <w:rsid w:val="00F55916"/>
    <w:rsid w:val="00F55D03"/>
    <w:rsid w:val="00F56788"/>
    <w:rsid w:val="00F665FF"/>
    <w:rsid w:val="00F8022B"/>
    <w:rsid w:val="00F830A4"/>
    <w:rsid w:val="00F951D4"/>
    <w:rsid w:val="00F9741A"/>
    <w:rsid w:val="00F978E8"/>
    <w:rsid w:val="00FB13BC"/>
    <w:rsid w:val="00FC202A"/>
    <w:rsid w:val="00FD17CE"/>
    <w:rsid w:val="00FD4B4C"/>
    <w:rsid w:val="00FD6CD5"/>
    <w:rsid w:val="00FE4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2B04B"/>
  <w15:chartTrackingRefBased/>
  <w15:docId w15:val="{03C325C5-4218-456E-B994-3C41929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666"/>
    <w:rPr>
      <w:rFonts w:ascii="Arial" w:hAnsi="Arial"/>
      <w:szCs w:val="24"/>
    </w:rPr>
  </w:style>
  <w:style w:type="paragraph" w:styleId="Heading1">
    <w:name w:val="heading 1"/>
    <w:basedOn w:val="Normal"/>
    <w:next w:val="Normal"/>
    <w:link w:val="Heading1Char"/>
    <w:qFormat/>
    <w:rsid w:val="00925D70"/>
    <w:pPr>
      <w:keepNext/>
      <w:spacing w:before="240" w:after="60"/>
      <w:jc w:val="center"/>
      <w:outlineLvl w:val="0"/>
    </w:pPr>
    <w:rPr>
      <w:b/>
      <w:bCs/>
      <w:kern w:val="32"/>
      <w:sz w:val="32"/>
      <w:szCs w:val="32"/>
    </w:rPr>
  </w:style>
  <w:style w:type="paragraph" w:styleId="Heading2">
    <w:name w:val="heading 2"/>
    <w:basedOn w:val="Normal"/>
    <w:next w:val="Normal"/>
    <w:link w:val="Heading2Char"/>
    <w:semiHidden/>
    <w:unhideWhenUsed/>
    <w:qFormat/>
    <w:rsid w:val="002F4C1D"/>
    <w:pPr>
      <w:keepNext/>
      <w:spacing w:before="240" w:after="60"/>
      <w:outlineLvl w:val="1"/>
    </w:pPr>
    <w:rPr>
      <w:rFonts w:ascii="Calibri Light" w:hAnsi="Calibri Light"/>
      <w:b/>
      <w:bCs/>
      <w:i/>
      <w:iCs/>
      <w:sz w:val="28"/>
      <w:szCs w:val="28"/>
    </w:rPr>
  </w:style>
  <w:style w:type="paragraph" w:styleId="Heading30">
    <w:name w:val="heading 3"/>
    <w:basedOn w:val="Normal"/>
    <w:next w:val="Normal"/>
    <w:link w:val="Heading3Char"/>
    <w:semiHidden/>
    <w:unhideWhenUsed/>
    <w:qFormat/>
    <w:rsid w:val="002F4C1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2F4C1D"/>
    <w:pPr>
      <w:keepNext/>
      <w:spacing w:before="240" w:after="60"/>
      <w:outlineLvl w:val="3"/>
    </w:pPr>
    <w:rPr>
      <w:rFonts w:ascii="Calibri" w:hAnsi="Calibri"/>
      <w:b/>
      <w:bCs/>
      <w:sz w:val="28"/>
      <w:szCs w:val="28"/>
    </w:rPr>
  </w:style>
  <w:style w:type="paragraph" w:styleId="Heading5">
    <w:name w:val="heading 5"/>
    <w:basedOn w:val="Normal"/>
    <w:next w:val="Normal"/>
    <w:qFormat/>
    <w:rsid w:val="009F360A"/>
    <w:pPr>
      <w:keepNext/>
      <w:ind w:left="720" w:firstLine="720"/>
      <w:outlineLvl w:val="4"/>
    </w:pPr>
    <w:rPr>
      <w:rFonts w:ascii="AvantGarde Bk BT" w:hAnsi="AvantGarde Bk BT"/>
      <w:b/>
      <w:bCs/>
      <w:lang w:val="en-US" w:eastAsia="en-US"/>
    </w:rPr>
  </w:style>
  <w:style w:type="paragraph" w:styleId="Heading6">
    <w:name w:val="heading 6"/>
    <w:basedOn w:val="Normal"/>
    <w:next w:val="Normal"/>
    <w:link w:val="Heading6Char"/>
    <w:semiHidden/>
    <w:unhideWhenUsed/>
    <w:qFormat/>
    <w:rsid w:val="002F4C1D"/>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F4C1D"/>
    <w:p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2F4C1D"/>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2F4C1D"/>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tstitle">
    <w:name w:val="uts title"/>
    <w:basedOn w:val="utsbodytext"/>
    <w:next w:val="utsheading1"/>
    <w:rsid w:val="00CC513A"/>
    <w:pPr>
      <w:spacing w:after="360" w:line="384" w:lineRule="exact"/>
      <w:jc w:val="center"/>
      <w:outlineLvl w:val="0"/>
    </w:pPr>
    <w:rPr>
      <w:b/>
      <w:caps/>
      <w:sz w:val="32"/>
    </w:rPr>
  </w:style>
  <w:style w:type="paragraph" w:customStyle="1" w:styleId="utsheading1">
    <w:name w:val="uts heading 1"/>
    <w:basedOn w:val="utstitle"/>
    <w:next w:val="utsbodytext"/>
    <w:rsid w:val="00CC513A"/>
    <w:pPr>
      <w:keepNext/>
      <w:keepLines/>
      <w:widowControl w:val="0"/>
      <w:spacing w:before="480" w:after="100" w:line="288" w:lineRule="exact"/>
      <w:jc w:val="left"/>
      <w:outlineLvl w:val="1"/>
    </w:pPr>
    <w:rPr>
      <w:sz w:val="24"/>
    </w:rPr>
  </w:style>
  <w:style w:type="paragraph" w:customStyle="1" w:styleId="utsbodytext">
    <w:name w:val="uts body text"/>
    <w:rsid w:val="00CC513A"/>
    <w:pPr>
      <w:spacing w:after="200" w:line="260" w:lineRule="exact"/>
      <w:jc w:val="both"/>
    </w:pPr>
    <w:rPr>
      <w:rFonts w:ascii="Arial" w:hAnsi="Arial"/>
      <w:szCs w:val="24"/>
      <w:lang w:eastAsia="en-US"/>
    </w:rPr>
  </w:style>
  <w:style w:type="paragraph" w:styleId="Header">
    <w:name w:val="header"/>
    <w:basedOn w:val="Normal"/>
    <w:rsid w:val="00CC513A"/>
    <w:pPr>
      <w:tabs>
        <w:tab w:val="center" w:pos="4320"/>
        <w:tab w:val="right" w:pos="8640"/>
      </w:tabs>
    </w:pPr>
    <w:rPr>
      <w:lang w:eastAsia="en-US"/>
    </w:rPr>
  </w:style>
  <w:style w:type="paragraph" w:customStyle="1" w:styleId="utstableheading">
    <w:name w:val="uts table heading"/>
    <w:basedOn w:val="utsbodytext"/>
    <w:rsid w:val="00CC513A"/>
    <w:pPr>
      <w:widowControl w:val="0"/>
      <w:spacing w:before="120" w:after="120" w:line="220" w:lineRule="exact"/>
      <w:jc w:val="left"/>
    </w:pPr>
    <w:rPr>
      <w:b/>
      <w:color w:val="000000"/>
      <w:sz w:val="18"/>
    </w:rPr>
  </w:style>
  <w:style w:type="paragraph" w:customStyle="1" w:styleId="utsfooter">
    <w:name w:val="uts footer"/>
    <w:basedOn w:val="utsbodytext"/>
    <w:rsid w:val="00CC513A"/>
    <w:pPr>
      <w:widowControl w:val="0"/>
      <w:tabs>
        <w:tab w:val="right" w:pos="9072"/>
      </w:tabs>
      <w:spacing w:line="220" w:lineRule="exact"/>
    </w:pPr>
    <w:rPr>
      <w:sz w:val="18"/>
    </w:rPr>
  </w:style>
  <w:style w:type="paragraph" w:customStyle="1" w:styleId="utstabletext">
    <w:name w:val="uts table text"/>
    <w:basedOn w:val="utstableheading"/>
    <w:rsid w:val="00CC513A"/>
    <w:rPr>
      <w:b w:val="0"/>
    </w:rPr>
  </w:style>
  <w:style w:type="paragraph" w:styleId="Footer">
    <w:name w:val="footer"/>
    <w:basedOn w:val="Normal"/>
    <w:link w:val="FooterChar"/>
    <w:uiPriority w:val="99"/>
    <w:rsid w:val="00230CD0"/>
    <w:pPr>
      <w:tabs>
        <w:tab w:val="center" w:pos="4153"/>
        <w:tab w:val="right" w:pos="8306"/>
      </w:tabs>
    </w:pPr>
  </w:style>
  <w:style w:type="paragraph" w:styleId="NormalWeb">
    <w:name w:val="Normal (Web)"/>
    <w:basedOn w:val="Normal"/>
    <w:link w:val="NormalWebChar"/>
    <w:rsid w:val="009F360A"/>
    <w:pPr>
      <w:spacing w:before="100" w:beforeAutospacing="1" w:after="100" w:afterAutospacing="1"/>
    </w:pPr>
    <w:rPr>
      <w:rFonts w:eastAsia="Arial Unicode MS" w:cs="Arial"/>
      <w:color w:val="000000"/>
      <w:lang w:eastAsia="en-US"/>
    </w:rPr>
  </w:style>
  <w:style w:type="character" w:customStyle="1" w:styleId="NormalWebChar">
    <w:name w:val="Normal (Web) Char"/>
    <w:link w:val="NormalWeb"/>
    <w:rsid w:val="009F360A"/>
    <w:rPr>
      <w:rFonts w:ascii="Arial" w:eastAsia="Arial Unicode MS" w:hAnsi="Arial" w:cs="Arial"/>
      <w:color w:val="000000"/>
      <w:sz w:val="24"/>
      <w:szCs w:val="24"/>
      <w:lang w:val="en-AU" w:eastAsia="en-US" w:bidi="ar-SA"/>
    </w:rPr>
  </w:style>
  <w:style w:type="character" w:customStyle="1" w:styleId="Heading1Char">
    <w:name w:val="Heading 1 Char"/>
    <w:link w:val="Heading1"/>
    <w:rsid w:val="00925D70"/>
    <w:rPr>
      <w:rFonts w:ascii="Arial" w:eastAsia="Times New Roman" w:hAnsi="Arial" w:cs="Times New Roman"/>
      <w:b/>
      <w:bCs/>
      <w:kern w:val="32"/>
      <w:sz w:val="32"/>
      <w:szCs w:val="32"/>
    </w:rPr>
  </w:style>
  <w:style w:type="paragraph" w:customStyle="1" w:styleId="Heading20">
    <w:name w:val="Heading2"/>
    <w:basedOn w:val="Heading1"/>
    <w:link w:val="Heading2Char0"/>
    <w:qFormat/>
    <w:rsid w:val="00B57903"/>
    <w:pPr>
      <w:jc w:val="left"/>
    </w:pPr>
    <w:rPr>
      <w:caps/>
      <w:sz w:val="24"/>
    </w:rPr>
  </w:style>
  <w:style w:type="paragraph" w:customStyle="1" w:styleId="Heading3">
    <w:name w:val="Heading3"/>
    <w:basedOn w:val="Heading20"/>
    <w:link w:val="Heading3Char0"/>
    <w:qFormat/>
    <w:rsid w:val="00B57903"/>
    <w:pPr>
      <w:numPr>
        <w:ilvl w:val="1"/>
        <w:numId w:val="15"/>
      </w:numPr>
    </w:pPr>
    <w:rPr>
      <w:sz w:val="20"/>
    </w:rPr>
  </w:style>
  <w:style w:type="character" w:customStyle="1" w:styleId="Heading2Char0">
    <w:name w:val="Heading2 Char"/>
    <w:link w:val="Heading20"/>
    <w:rsid w:val="00B57903"/>
    <w:rPr>
      <w:rFonts w:ascii="Arial" w:hAnsi="Arial"/>
      <w:b/>
      <w:bCs/>
      <w:caps/>
      <w:kern w:val="32"/>
      <w:sz w:val="24"/>
      <w:szCs w:val="32"/>
    </w:rPr>
  </w:style>
  <w:style w:type="paragraph" w:styleId="FootnoteText">
    <w:name w:val="footnote text"/>
    <w:basedOn w:val="Normal"/>
    <w:link w:val="FootnoteTextChar"/>
    <w:rsid w:val="00165666"/>
    <w:rPr>
      <w:szCs w:val="20"/>
      <w:vertAlign w:val="superscript"/>
    </w:rPr>
  </w:style>
  <w:style w:type="character" w:customStyle="1" w:styleId="Heading3Char0">
    <w:name w:val="Heading3 Char"/>
    <w:basedOn w:val="Heading2Char0"/>
    <w:link w:val="Heading3"/>
    <w:rsid w:val="00B57903"/>
    <w:rPr>
      <w:rFonts w:ascii="Arial" w:hAnsi="Arial"/>
      <w:b/>
      <w:bCs/>
      <w:caps/>
      <w:kern w:val="32"/>
      <w:sz w:val="24"/>
      <w:szCs w:val="32"/>
    </w:rPr>
  </w:style>
  <w:style w:type="character" w:customStyle="1" w:styleId="FootnoteTextChar">
    <w:name w:val="Footnote Text Char"/>
    <w:link w:val="FootnoteText"/>
    <w:rsid w:val="00165666"/>
    <w:rPr>
      <w:rFonts w:ascii="Arial" w:hAnsi="Arial"/>
      <w:vertAlign w:val="superscript"/>
    </w:rPr>
  </w:style>
  <w:style w:type="character" w:styleId="FootnoteReference">
    <w:name w:val="footnote reference"/>
    <w:rsid w:val="00CB5A83"/>
    <w:rPr>
      <w:vertAlign w:val="superscript"/>
    </w:rPr>
  </w:style>
  <w:style w:type="character" w:customStyle="1" w:styleId="FooterChar">
    <w:name w:val="Footer Char"/>
    <w:link w:val="Footer"/>
    <w:uiPriority w:val="99"/>
    <w:rsid w:val="0035650E"/>
    <w:rPr>
      <w:rFonts w:ascii="Arial" w:hAnsi="Arial"/>
      <w:szCs w:val="24"/>
    </w:rPr>
  </w:style>
  <w:style w:type="paragraph" w:customStyle="1" w:styleId="Heading40">
    <w:name w:val="Heading4"/>
    <w:basedOn w:val="Normal"/>
    <w:link w:val="Heading4Char0"/>
    <w:qFormat/>
    <w:rsid w:val="00A5695C"/>
    <w:rPr>
      <w:b/>
      <w:i/>
    </w:rPr>
  </w:style>
  <w:style w:type="paragraph" w:customStyle="1" w:styleId="Exceptions">
    <w:name w:val="Exceptions"/>
    <w:basedOn w:val="Normal"/>
    <w:link w:val="ExceptionsChar"/>
    <w:qFormat/>
    <w:rsid w:val="00B57903"/>
    <w:rPr>
      <w:i/>
      <w:u w:val="single"/>
    </w:rPr>
  </w:style>
  <w:style w:type="character" w:customStyle="1" w:styleId="Heading4Char0">
    <w:name w:val="Heading4 Char"/>
    <w:link w:val="Heading40"/>
    <w:rsid w:val="00A5695C"/>
    <w:rPr>
      <w:rFonts w:ascii="Arial" w:hAnsi="Arial"/>
      <w:b/>
      <w:i/>
      <w:szCs w:val="24"/>
    </w:rPr>
  </w:style>
  <w:style w:type="paragraph" w:styleId="TOCHeading">
    <w:name w:val="TOC Heading"/>
    <w:basedOn w:val="Heading1"/>
    <w:next w:val="Normal"/>
    <w:uiPriority w:val="39"/>
    <w:unhideWhenUsed/>
    <w:qFormat/>
    <w:rsid w:val="0077391B"/>
    <w:pPr>
      <w:keepLines/>
      <w:spacing w:after="0" w:line="259" w:lineRule="auto"/>
      <w:jc w:val="left"/>
      <w:outlineLvl w:val="9"/>
    </w:pPr>
    <w:rPr>
      <w:rFonts w:ascii="Calibri Light" w:hAnsi="Calibri Light"/>
      <w:b w:val="0"/>
      <w:bCs w:val="0"/>
      <w:color w:val="2E74B5"/>
      <w:kern w:val="0"/>
      <w:lang w:val="en-US" w:eastAsia="en-US"/>
    </w:rPr>
  </w:style>
  <w:style w:type="character" w:customStyle="1" w:styleId="ExceptionsChar">
    <w:name w:val="Exceptions Char"/>
    <w:link w:val="Exceptions"/>
    <w:rsid w:val="00B57903"/>
    <w:rPr>
      <w:rFonts w:ascii="Arial" w:hAnsi="Arial"/>
      <w:i/>
      <w:szCs w:val="24"/>
      <w:u w:val="single"/>
    </w:rPr>
  </w:style>
  <w:style w:type="paragraph" w:styleId="TOC1">
    <w:name w:val="toc 1"/>
    <w:basedOn w:val="Normal"/>
    <w:next w:val="Normal"/>
    <w:autoRedefine/>
    <w:uiPriority w:val="39"/>
    <w:rsid w:val="002F4C1D"/>
    <w:pPr>
      <w:tabs>
        <w:tab w:val="left" w:pos="660"/>
        <w:tab w:val="right" w:leader="dot" w:pos="9054"/>
      </w:tabs>
    </w:pPr>
  </w:style>
  <w:style w:type="paragraph" w:styleId="TOC2">
    <w:name w:val="toc 2"/>
    <w:basedOn w:val="Normal"/>
    <w:next w:val="Normal"/>
    <w:autoRedefine/>
    <w:uiPriority w:val="39"/>
    <w:rsid w:val="0077391B"/>
    <w:pPr>
      <w:ind w:left="200"/>
    </w:pPr>
  </w:style>
  <w:style w:type="character" w:styleId="Hyperlink">
    <w:name w:val="Hyperlink"/>
    <w:uiPriority w:val="99"/>
    <w:unhideWhenUsed/>
    <w:rsid w:val="0077391B"/>
    <w:rPr>
      <w:color w:val="0563C1"/>
      <w:u w:val="single"/>
    </w:rPr>
  </w:style>
  <w:style w:type="character" w:customStyle="1" w:styleId="Heading2Char">
    <w:name w:val="Heading 2 Char"/>
    <w:link w:val="Heading2"/>
    <w:semiHidden/>
    <w:rsid w:val="002F4C1D"/>
    <w:rPr>
      <w:rFonts w:ascii="Calibri Light" w:eastAsia="Times New Roman" w:hAnsi="Calibri Light" w:cs="Times New Roman"/>
      <w:b/>
      <w:bCs/>
      <w:i/>
      <w:iCs/>
      <w:sz w:val="28"/>
      <w:szCs w:val="28"/>
    </w:rPr>
  </w:style>
  <w:style w:type="paragraph" w:styleId="TOC3">
    <w:name w:val="toc 3"/>
    <w:basedOn w:val="Normal"/>
    <w:next w:val="Normal"/>
    <w:autoRedefine/>
    <w:uiPriority w:val="39"/>
    <w:rsid w:val="002F4C1D"/>
    <w:pPr>
      <w:ind w:left="1440"/>
    </w:pPr>
  </w:style>
  <w:style w:type="character" w:customStyle="1" w:styleId="Heading3Char">
    <w:name w:val="Heading 3 Char"/>
    <w:link w:val="Heading30"/>
    <w:semiHidden/>
    <w:rsid w:val="002F4C1D"/>
    <w:rPr>
      <w:rFonts w:ascii="Calibri Light" w:eastAsia="Times New Roman" w:hAnsi="Calibri Light" w:cs="Times New Roman"/>
      <w:b/>
      <w:bCs/>
      <w:sz w:val="26"/>
      <w:szCs w:val="26"/>
    </w:rPr>
  </w:style>
  <w:style w:type="character" w:customStyle="1" w:styleId="Heading4Char">
    <w:name w:val="Heading 4 Char"/>
    <w:link w:val="Heading4"/>
    <w:semiHidden/>
    <w:rsid w:val="002F4C1D"/>
    <w:rPr>
      <w:rFonts w:ascii="Calibri" w:eastAsia="Times New Roman" w:hAnsi="Calibri" w:cs="Times New Roman"/>
      <w:b/>
      <w:bCs/>
      <w:sz w:val="28"/>
      <w:szCs w:val="28"/>
    </w:rPr>
  </w:style>
  <w:style w:type="character" w:customStyle="1" w:styleId="Heading6Char">
    <w:name w:val="Heading 6 Char"/>
    <w:link w:val="Heading6"/>
    <w:semiHidden/>
    <w:rsid w:val="002F4C1D"/>
    <w:rPr>
      <w:rFonts w:ascii="Calibri" w:eastAsia="Times New Roman" w:hAnsi="Calibri" w:cs="Times New Roman"/>
      <w:b/>
      <w:bCs/>
      <w:sz w:val="22"/>
      <w:szCs w:val="22"/>
    </w:rPr>
  </w:style>
  <w:style w:type="character" w:customStyle="1" w:styleId="Heading7Char">
    <w:name w:val="Heading 7 Char"/>
    <w:link w:val="Heading7"/>
    <w:semiHidden/>
    <w:rsid w:val="002F4C1D"/>
    <w:rPr>
      <w:rFonts w:ascii="Calibri" w:eastAsia="Times New Roman" w:hAnsi="Calibri" w:cs="Times New Roman"/>
      <w:sz w:val="24"/>
      <w:szCs w:val="24"/>
    </w:rPr>
  </w:style>
  <w:style w:type="character" w:customStyle="1" w:styleId="Heading8Char">
    <w:name w:val="Heading 8 Char"/>
    <w:link w:val="Heading8"/>
    <w:semiHidden/>
    <w:rsid w:val="002F4C1D"/>
    <w:rPr>
      <w:rFonts w:ascii="Calibri" w:eastAsia="Times New Roman" w:hAnsi="Calibri" w:cs="Times New Roman"/>
      <w:i/>
      <w:iCs/>
      <w:sz w:val="24"/>
      <w:szCs w:val="24"/>
    </w:rPr>
  </w:style>
  <w:style w:type="character" w:customStyle="1" w:styleId="Heading9Char">
    <w:name w:val="Heading 9 Char"/>
    <w:link w:val="Heading9"/>
    <w:semiHidden/>
    <w:rsid w:val="002F4C1D"/>
    <w:rPr>
      <w:rFonts w:ascii="Calibri Light" w:eastAsia="Times New Roman" w:hAnsi="Calibri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Y:\AIMMQLD\Government\Governance%20Advisory\Library\A%20-%20Templates\ExGratia%20Payments%20Policy\Prevention-in-focus-Use-of-non-disclosure-agreements-what%20are-the-corruption-risks-202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5F630613F24B46A75DFC25AE34D43F" ma:contentTypeVersion="18" ma:contentTypeDescription="Create a new document." ma:contentTypeScope="" ma:versionID="8813068b6f67550b74e7c768e9e94250">
  <xsd:schema xmlns:xsd="http://www.w3.org/2001/XMLSchema" xmlns:xs="http://www.w3.org/2001/XMLSchema" xmlns:p="http://schemas.microsoft.com/office/2006/metadata/properties" xmlns:ns2="56138cc0-c60c-4f59-9a02-b47a85bb93d7" xmlns:ns3="1ebafbfc-544b-4f2e-8dff-91b17aec97e9" targetNamespace="http://schemas.microsoft.com/office/2006/metadata/properties" ma:root="true" ma:fieldsID="c60fad5613da80fb5c84ccbfc4674fe1" ns2:_="" ns3:_="">
    <xsd:import namespace="56138cc0-c60c-4f59-9a02-b47a85bb93d7"/>
    <xsd:import namespace="1ebafbfc-544b-4f2e-8dff-91b17aec9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38cc0-c60c-4f59-9a02-b47a85bb93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c5d96-fce7-4a2a-9098-62e44a1963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bafbfc-544b-4f2e-8dff-91b17aec97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15fb00-2c78-4f23-bb68-6373cc274572}" ma:internalName="TaxCatchAll" ma:showField="CatchAllData" ma:web="1ebafbfc-544b-4f2e-8dff-91b17aec9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138cc0-c60c-4f59-9a02-b47a85bb93d7">
      <Terms xmlns="http://schemas.microsoft.com/office/infopath/2007/PartnerControls"/>
    </lcf76f155ced4ddcb4097134ff3c332f>
    <TaxCatchAll xmlns="1ebafbfc-544b-4f2e-8dff-91b17aec97e9"/>
  </documentManagement>
</p:properties>
</file>

<file path=customXml/itemProps1.xml><?xml version="1.0" encoding="utf-8"?>
<ds:datastoreItem xmlns:ds="http://schemas.openxmlformats.org/officeDocument/2006/customXml" ds:itemID="{580E9A4C-D4D8-4F26-9C1C-2ECBBD40A552}">
  <ds:schemaRefs>
    <ds:schemaRef ds:uri="http://schemas.openxmlformats.org/officeDocument/2006/bibliography"/>
  </ds:schemaRefs>
</ds:datastoreItem>
</file>

<file path=customXml/itemProps2.xml><?xml version="1.0" encoding="utf-8"?>
<ds:datastoreItem xmlns:ds="http://schemas.openxmlformats.org/officeDocument/2006/customXml" ds:itemID="{3573389E-FE71-447E-ABC4-140C8B8F0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38cc0-c60c-4f59-9a02-b47a85bb93d7"/>
    <ds:schemaRef ds:uri="1ebafbfc-544b-4f2e-8dff-91b17aec9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425E4-148A-4DE1-8312-E1628C03A400}">
  <ds:schemaRefs>
    <ds:schemaRef ds:uri="http://schemas.microsoft.com/sharepoint/v3/contenttype/forms"/>
  </ds:schemaRefs>
</ds:datastoreItem>
</file>

<file path=customXml/itemProps4.xml><?xml version="1.0" encoding="utf-8"?>
<ds:datastoreItem xmlns:ds="http://schemas.openxmlformats.org/officeDocument/2006/customXml" ds:itemID="{2B28B63D-5E59-483C-AF43-14E1F7F5DB29}">
  <ds:schemaRefs>
    <ds:schemaRef ds:uri="http://schemas.microsoft.com/office/2006/metadata/properties"/>
    <ds:schemaRef ds:uri="http://schemas.microsoft.com/office/infopath/2007/PartnerControls"/>
    <ds:schemaRef ds:uri="56138cc0-c60c-4f59-9a02-b47a85bb93d7"/>
    <ds:schemaRef ds:uri="1ebafbfc-544b-4f2e-8dff-91b17aec97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5616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Isaac Regional Council</Company>
  <LinksUpToDate>false</LinksUpToDate>
  <CharactersWithSpaces>6473</CharactersWithSpaces>
  <SharedDoc>false</SharedDoc>
  <HLinks>
    <vt:vector size="6" baseType="variant">
      <vt:variant>
        <vt:i4>655369</vt:i4>
      </vt:variant>
      <vt:variant>
        <vt:i4>30</vt:i4>
      </vt:variant>
      <vt:variant>
        <vt:i4>0</vt:i4>
      </vt:variant>
      <vt:variant>
        <vt:i4>5</vt:i4>
      </vt:variant>
      <vt:variant>
        <vt:lpwstr>\\LGMAQLD\LGMAQLD\AIMMQLD\Government\Governance Advisory\Library\A - Templates\ExGratia Payments Policy\Prevention-in-focus-Use-of-non-disclosure-agreements-what are-the-corruption-risks-2020.pdf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Renee Bester</dc:creator>
  <cp:keywords/>
  <cp:lastModifiedBy>Karen Luck</cp:lastModifiedBy>
  <cp:revision>2</cp:revision>
  <cp:lastPrinted>2009-08-28T04:34:00Z</cp:lastPrinted>
  <dcterms:created xsi:type="dcterms:W3CDTF">2025-04-14T06:22:00Z</dcterms:created>
  <dcterms:modified xsi:type="dcterms:W3CDTF">2025-04-14T06:22:00Z</dcterms:modified>
</cp:coreProperties>
</file>