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160" w:vertAnchor="text" w:horzAnchor="margin" w:tblpXSpec="right" w:tblpY="75"/>
        <w:tblOverlap w:val="never"/>
        <w:tblW w:w="9285" w:type="dxa"/>
        <w:tblBorders>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837FB" w14:paraId="7FEB894C" w14:textId="77777777" w:rsidTr="000837FB">
        <w:tc>
          <w:tcPr>
            <w:tcW w:w="9285" w:type="dxa"/>
            <w:tcBorders>
              <w:top w:val="nil"/>
              <w:left w:val="nil"/>
              <w:bottom w:val="nil"/>
              <w:right w:val="nil"/>
            </w:tcBorders>
          </w:tcPr>
          <w:p w14:paraId="23013218" w14:textId="6E4D2F39" w:rsidR="000837FB" w:rsidRDefault="00414E76">
            <w:pPr>
              <w:spacing w:before="1920" w:after="1920" w:line="256" w:lineRule="auto"/>
              <w:jc w:val="right"/>
              <w:rPr>
                <w:rFonts w:cs="Times New Roman"/>
                <w:kern w:val="2"/>
                <w:sz w:val="44"/>
              </w:rPr>
            </w:pPr>
            <w:bookmarkStart w:id="0" w:name="_Hlk142580010"/>
            <w:r>
              <w:rPr>
                <w:noProof/>
              </w:rPr>
              <w:drawing>
                <wp:anchor distT="0" distB="0" distL="114300" distR="114300" simplePos="0" relativeHeight="251659264" behindDoc="1" locked="0" layoutInCell="1" allowOverlap="1" wp14:anchorId="779C9E04" wp14:editId="50F4E031">
                  <wp:simplePos x="0" y="0"/>
                  <wp:positionH relativeFrom="column">
                    <wp:posOffset>-68580</wp:posOffset>
                  </wp:positionH>
                  <wp:positionV relativeFrom="paragraph">
                    <wp:posOffset>0</wp:posOffset>
                  </wp:positionV>
                  <wp:extent cx="1067570" cy="1050925"/>
                  <wp:effectExtent l="0" t="0" r="0" b="0"/>
                  <wp:wrapTight wrapText="bothSides">
                    <wp:wrapPolygon edited="0">
                      <wp:start x="0" y="0"/>
                      <wp:lineTo x="0" y="21143"/>
                      <wp:lineTo x="21202" y="21143"/>
                      <wp:lineTo x="21202" y="0"/>
                      <wp:lineTo x="0" y="0"/>
                    </wp:wrapPolygon>
                  </wp:wrapTight>
                  <wp:docPr id="515263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7570" cy="1050925"/>
                          </a:xfrm>
                          <a:prstGeom prst="rect">
                            <a:avLst/>
                          </a:prstGeom>
                          <a:noFill/>
                          <a:ln>
                            <a:noFill/>
                          </a:ln>
                        </pic:spPr>
                      </pic:pic>
                    </a:graphicData>
                  </a:graphic>
                </wp:anchor>
              </w:drawing>
            </w:r>
          </w:p>
        </w:tc>
      </w:tr>
      <w:tr w:rsidR="000837FB" w14:paraId="565A5E27" w14:textId="77777777" w:rsidTr="000837FB">
        <w:tc>
          <w:tcPr>
            <w:tcW w:w="9285" w:type="dxa"/>
            <w:tcBorders>
              <w:top w:val="nil"/>
              <w:left w:val="nil"/>
              <w:bottom w:val="nil"/>
              <w:right w:val="nil"/>
            </w:tcBorders>
            <w:hideMark/>
          </w:tcPr>
          <w:p w14:paraId="1D68BE54" w14:textId="7BE6A31C" w:rsidR="000837FB" w:rsidRDefault="000837FB">
            <w:pPr>
              <w:spacing w:before="120" w:after="120" w:line="256" w:lineRule="auto"/>
              <w:jc w:val="right"/>
              <w:rPr>
                <w:kern w:val="2"/>
                <w:sz w:val="44"/>
              </w:rPr>
            </w:pPr>
            <w:r>
              <w:rPr>
                <w:kern w:val="2"/>
                <w:sz w:val="44"/>
              </w:rPr>
              <w:t xml:space="preserve">REQUEST FOR </w:t>
            </w:r>
            <w:r w:rsidR="00601A82">
              <w:rPr>
                <w:kern w:val="2"/>
                <w:sz w:val="44"/>
              </w:rPr>
              <w:t>QUOTATION</w:t>
            </w:r>
          </w:p>
        </w:tc>
      </w:tr>
      <w:tr w:rsidR="000837FB" w14:paraId="5E4A0EA3" w14:textId="77777777" w:rsidTr="000837FB">
        <w:tc>
          <w:tcPr>
            <w:tcW w:w="9285" w:type="dxa"/>
            <w:tcBorders>
              <w:top w:val="nil"/>
              <w:left w:val="nil"/>
              <w:bottom w:val="single" w:sz="4" w:space="0" w:color="auto"/>
              <w:right w:val="nil"/>
            </w:tcBorders>
          </w:tcPr>
          <w:p w14:paraId="63DADC80" w14:textId="77777777" w:rsidR="000837FB" w:rsidRDefault="000837FB">
            <w:pPr>
              <w:spacing w:line="256" w:lineRule="auto"/>
              <w:jc w:val="right"/>
              <w:rPr>
                <w:kern w:val="2"/>
                <w:sz w:val="28"/>
                <w:szCs w:val="28"/>
              </w:rPr>
            </w:pPr>
          </w:p>
        </w:tc>
      </w:tr>
      <w:tr w:rsidR="000837FB" w14:paraId="29BDCFCF" w14:textId="77777777" w:rsidTr="000837FB">
        <w:trPr>
          <w:trHeight w:val="2524"/>
        </w:trPr>
        <w:tc>
          <w:tcPr>
            <w:tcW w:w="9285" w:type="dxa"/>
            <w:tcBorders>
              <w:top w:val="single" w:sz="4" w:space="0" w:color="auto"/>
              <w:left w:val="nil"/>
              <w:bottom w:val="nil"/>
              <w:right w:val="nil"/>
            </w:tcBorders>
          </w:tcPr>
          <w:p w14:paraId="5A2071E2" w14:textId="77777777" w:rsidR="000837FB" w:rsidRDefault="000837FB">
            <w:pPr>
              <w:spacing w:after="120" w:line="256" w:lineRule="auto"/>
              <w:jc w:val="right"/>
              <w:rPr>
                <w:kern w:val="2"/>
                <w:sz w:val="44"/>
                <w:szCs w:val="24"/>
              </w:rPr>
            </w:pPr>
          </w:p>
        </w:tc>
      </w:tr>
      <w:tr w:rsidR="000837FB" w14:paraId="50EB153E" w14:textId="77777777" w:rsidTr="000837FB">
        <w:tc>
          <w:tcPr>
            <w:tcW w:w="9285" w:type="dxa"/>
            <w:tcBorders>
              <w:top w:val="nil"/>
              <w:left w:val="nil"/>
              <w:bottom w:val="nil"/>
              <w:right w:val="nil"/>
            </w:tcBorders>
            <w:hideMark/>
          </w:tcPr>
          <w:p w14:paraId="71D9F078" w14:textId="5A0C6314" w:rsidR="000837FB" w:rsidRDefault="005F4E1C">
            <w:pPr>
              <w:keepLines/>
              <w:suppressAutoHyphens/>
              <w:spacing w:before="360" w:after="360" w:line="256" w:lineRule="auto"/>
              <w:jc w:val="right"/>
              <w:rPr>
                <w:kern w:val="2"/>
                <w:sz w:val="44"/>
              </w:rPr>
            </w:pPr>
            <w:r>
              <w:rPr>
                <w:kern w:val="2"/>
              </w:rPr>
              <w:t>EMERGENT SUPERVISION, ENGINEERING AND DAMAGE</w:t>
            </w:r>
            <w:r w:rsidR="00FC3E19">
              <w:rPr>
                <w:kern w:val="2"/>
              </w:rPr>
              <w:t xml:space="preserve"> ASSESSMENTS OF THE FLOOD DAMAGED ASSETS IN ANTICIPATED WET WEATHER SEASON 2024/2025 </w:t>
            </w:r>
            <w:r w:rsidR="00927630">
              <w:rPr>
                <w:kern w:val="2"/>
              </w:rPr>
              <w:t xml:space="preserve"> </w:t>
            </w:r>
            <w:r w:rsidR="002F7A43">
              <w:rPr>
                <w:kern w:val="2"/>
              </w:rPr>
              <w:t xml:space="preserve"> </w:t>
            </w:r>
          </w:p>
        </w:tc>
      </w:tr>
      <w:tr w:rsidR="000837FB" w:rsidRPr="004E3D27" w14:paraId="7E3ECAB2" w14:textId="77777777" w:rsidTr="000837FB">
        <w:tc>
          <w:tcPr>
            <w:tcW w:w="9285" w:type="dxa"/>
            <w:tcBorders>
              <w:top w:val="nil"/>
              <w:left w:val="nil"/>
              <w:bottom w:val="nil"/>
              <w:right w:val="nil"/>
            </w:tcBorders>
            <w:hideMark/>
          </w:tcPr>
          <w:p w14:paraId="659AC9DB" w14:textId="47715171" w:rsidR="000837FB" w:rsidRPr="004E3D27" w:rsidRDefault="000837FB" w:rsidP="004E3D27">
            <w:pPr>
              <w:keepLines/>
              <w:suppressAutoHyphens/>
              <w:spacing w:before="360" w:after="360" w:line="256" w:lineRule="auto"/>
              <w:jc w:val="right"/>
              <w:rPr>
                <w:noProof/>
                <w:kern w:val="2"/>
              </w:rPr>
            </w:pPr>
            <w:r w:rsidRPr="004E3D27">
              <w:rPr>
                <w:noProof/>
                <w:kern w:val="2"/>
              </w:rPr>
              <w:t xml:space="preserve">CONTRACT NO: </w:t>
            </w:r>
            <w:r w:rsidR="00E26295">
              <w:rPr>
                <w:noProof/>
                <w:kern w:val="2"/>
              </w:rPr>
              <w:t>ESC2024-0</w:t>
            </w:r>
            <w:r w:rsidR="00927630">
              <w:rPr>
                <w:noProof/>
                <w:kern w:val="2"/>
              </w:rPr>
              <w:t>44</w:t>
            </w:r>
          </w:p>
        </w:tc>
      </w:tr>
      <w:bookmarkEnd w:id="0"/>
    </w:tbl>
    <w:p w14:paraId="49F2FD55" w14:textId="22E2B52C" w:rsidR="000837FB" w:rsidRDefault="000837FB" w:rsidP="000837FB">
      <w:pPr>
        <w:rPr>
          <w:lang w:eastAsia="en-AU"/>
          <w14:ligatures w14:val="standardContextual"/>
        </w:rPr>
      </w:pPr>
    </w:p>
    <w:p w14:paraId="0DAC3DCC" w14:textId="3AFA9345" w:rsidR="00A929D3" w:rsidRPr="001C03AA" w:rsidRDefault="00A929D3" w:rsidP="001C03AA">
      <w:pPr>
        <w:sectPr w:rsidR="00A929D3" w:rsidRPr="001C03AA" w:rsidSect="00F272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709" w:header="708" w:footer="528" w:gutter="0"/>
          <w:cols w:space="708"/>
          <w:titlePg/>
          <w:docGrid w:linePitch="360"/>
        </w:sect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1843"/>
        <w:gridCol w:w="1275"/>
        <w:gridCol w:w="284"/>
        <w:gridCol w:w="2268"/>
      </w:tblGrid>
      <w:tr w:rsidR="001E6C2B" w:rsidRPr="0095586B" w14:paraId="65540E69" w14:textId="77777777" w:rsidTr="003930BF">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AE9342" w14:textId="77777777" w:rsidR="001E6C2B" w:rsidRPr="0095586B" w:rsidRDefault="001E6C2B" w:rsidP="0095586B">
            <w:pPr>
              <w:pStyle w:val="OLTableText"/>
              <w:rPr>
                <w:b/>
                <w:bCs/>
              </w:rPr>
            </w:pPr>
            <w:bookmarkStart w:id="1" w:name="_Hlk41733522"/>
            <w:r w:rsidRPr="0095586B">
              <w:rPr>
                <w:b/>
                <w:bCs/>
              </w:rPr>
              <w:lastRenderedPageBreak/>
              <w:t xml:space="preserve">PART 1 – PREAMBLE </w:t>
            </w:r>
          </w:p>
        </w:tc>
      </w:tr>
      <w:tr w:rsidR="001E6C2B" w:rsidRPr="00842756" w14:paraId="44C514AA" w14:textId="77777777" w:rsidTr="001E6C2B">
        <w:tc>
          <w:tcPr>
            <w:tcW w:w="10490" w:type="dxa"/>
            <w:gridSpan w:val="6"/>
            <w:tcBorders>
              <w:top w:val="single" w:sz="4" w:space="0" w:color="auto"/>
              <w:left w:val="single" w:sz="4" w:space="0" w:color="auto"/>
              <w:bottom w:val="single" w:sz="4" w:space="0" w:color="auto"/>
              <w:right w:val="single" w:sz="4" w:space="0" w:color="auto"/>
            </w:tcBorders>
            <w:shd w:val="clear" w:color="auto" w:fill="auto"/>
          </w:tcPr>
          <w:p w14:paraId="0C949286" w14:textId="0289F9A4" w:rsidR="003947A3" w:rsidRPr="00852087" w:rsidRDefault="0061098F" w:rsidP="003947A3">
            <w:pPr>
              <w:pStyle w:val="OLTableText"/>
            </w:pPr>
            <w:bookmarkStart w:id="2" w:name="_Hlk162339763"/>
            <w:r w:rsidRPr="004155B9">
              <w:t xml:space="preserve">Etheridge Shire Council are seeking </w:t>
            </w:r>
            <w:r w:rsidR="004155B9" w:rsidRPr="004155B9">
              <w:t>for consultancy</w:t>
            </w:r>
            <w:r w:rsidR="003947A3" w:rsidRPr="004155B9">
              <w:t xml:space="preserve"> services for </w:t>
            </w:r>
            <w:r w:rsidR="003947A3" w:rsidRPr="00852087">
              <w:t xml:space="preserve">with quick response time to provide a complete Council’s Road damage assessment due to anticipated wet weather season and prepare an appropriate claim as per the Guidelines of QRA. </w:t>
            </w:r>
          </w:p>
          <w:p w14:paraId="56956B5D" w14:textId="77777777" w:rsidR="0061098F" w:rsidRDefault="0061098F" w:rsidP="0095586B">
            <w:pPr>
              <w:pStyle w:val="OLTableText"/>
              <w:rPr>
                <w:sz w:val="22"/>
                <w:szCs w:val="22"/>
              </w:rPr>
            </w:pPr>
          </w:p>
          <w:bookmarkEnd w:id="2"/>
          <w:p w14:paraId="64B9BE44" w14:textId="3D44BD88" w:rsidR="001E6C2B" w:rsidRPr="001E6C2B" w:rsidRDefault="001E6C2B" w:rsidP="0095586B">
            <w:pPr>
              <w:pStyle w:val="OLTableText"/>
              <w:rPr>
                <w:bCs/>
              </w:rPr>
            </w:pPr>
          </w:p>
        </w:tc>
      </w:tr>
      <w:tr w:rsidR="001E6C2B" w:rsidRPr="0095586B" w14:paraId="119AE900" w14:textId="77777777" w:rsidTr="00E1166A">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B68F0E" w14:textId="77777777" w:rsidR="001E6C2B" w:rsidRPr="0095586B" w:rsidRDefault="001E6C2B" w:rsidP="0095586B">
            <w:pPr>
              <w:pStyle w:val="OLTableText"/>
              <w:rPr>
                <w:b/>
                <w:bCs/>
              </w:rPr>
            </w:pPr>
            <w:r w:rsidRPr="0095586B">
              <w:rPr>
                <w:b/>
                <w:bCs/>
              </w:rPr>
              <w:t>PART 2 – GENERAL INFORMATION</w:t>
            </w:r>
          </w:p>
        </w:tc>
      </w:tr>
      <w:tr w:rsidR="001E6C2B" w:rsidRPr="00842756" w14:paraId="5764B9B1" w14:textId="77777777" w:rsidTr="002815C5">
        <w:tc>
          <w:tcPr>
            <w:tcW w:w="2268" w:type="dxa"/>
            <w:shd w:val="clear" w:color="auto" w:fill="F2F2F2" w:themeFill="background1" w:themeFillShade="F2"/>
          </w:tcPr>
          <w:p w14:paraId="7EE96177" w14:textId="77777777" w:rsidR="001E6C2B" w:rsidRPr="00796C17" w:rsidRDefault="001E6C2B" w:rsidP="00F7667F">
            <w:pPr>
              <w:pStyle w:val="OLSchedule1"/>
            </w:pPr>
            <w:r w:rsidRPr="00796C17">
              <w:t>Contract details:</w:t>
            </w:r>
          </w:p>
        </w:tc>
        <w:tc>
          <w:tcPr>
            <w:tcW w:w="8222" w:type="dxa"/>
            <w:gridSpan w:val="5"/>
            <w:shd w:val="clear" w:color="auto" w:fill="FFFFFF" w:themeFill="background1"/>
          </w:tcPr>
          <w:p w14:paraId="5A4D0279" w14:textId="4EB0D813" w:rsidR="001E6C2B" w:rsidRPr="00796C17" w:rsidRDefault="00E26295" w:rsidP="0095586B">
            <w:pPr>
              <w:pStyle w:val="OLTableText"/>
              <w:rPr>
                <w:spacing w:val="-2"/>
              </w:rPr>
            </w:pPr>
            <w:r>
              <w:rPr>
                <w:noProof/>
              </w:rPr>
              <w:t>ESC2024-0</w:t>
            </w:r>
            <w:r w:rsidR="0061098F">
              <w:rPr>
                <w:noProof/>
              </w:rPr>
              <w:t>44</w:t>
            </w:r>
          </w:p>
        </w:tc>
      </w:tr>
      <w:tr w:rsidR="001E6C2B" w:rsidRPr="00842756" w14:paraId="4BD07321" w14:textId="77777777" w:rsidTr="002815C5">
        <w:tc>
          <w:tcPr>
            <w:tcW w:w="2268" w:type="dxa"/>
            <w:shd w:val="clear" w:color="auto" w:fill="F2F2F2" w:themeFill="background1" w:themeFillShade="F2"/>
          </w:tcPr>
          <w:p w14:paraId="4E349E0E" w14:textId="5736F79E" w:rsidR="001E6C2B" w:rsidRPr="00796C17" w:rsidRDefault="001E6C2B" w:rsidP="00F7667F">
            <w:pPr>
              <w:pStyle w:val="OLSchedule1"/>
            </w:pPr>
            <w:r w:rsidRPr="00E01203">
              <w:t xml:space="preserve">Communications by </w:t>
            </w:r>
            <w:r w:rsidR="00C76606">
              <w:t>Tenderer</w:t>
            </w:r>
            <w:r w:rsidRPr="00E01203">
              <w:t>s:</w:t>
            </w:r>
          </w:p>
        </w:tc>
        <w:tc>
          <w:tcPr>
            <w:tcW w:w="8222" w:type="dxa"/>
            <w:gridSpan w:val="5"/>
          </w:tcPr>
          <w:p w14:paraId="53A0685C" w14:textId="07EACEC5" w:rsidR="001E6C2B" w:rsidRPr="00796C17" w:rsidRDefault="001E6C2B" w:rsidP="0095586B">
            <w:pPr>
              <w:pStyle w:val="OLTableText"/>
              <w:rPr>
                <w:spacing w:val="-2"/>
              </w:rPr>
            </w:pPr>
            <w:r w:rsidRPr="00796C17">
              <w:t xml:space="preserve">Communications regarding the </w:t>
            </w:r>
            <w:r w:rsidRPr="00E94094">
              <w:t>Procurement</w:t>
            </w:r>
            <w:r w:rsidRPr="00796C17">
              <w:t xml:space="preserve"> </w:t>
            </w:r>
            <w:r w:rsidRPr="00E94094">
              <w:t>Process</w:t>
            </w:r>
            <w:r w:rsidRPr="00796C17">
              <w:t xml:space="preserve"> must be submitted to </w:t>
            </w:r>
            <w:hyperlink r:id="rId16" w:history="1">
              <w:r w:rsidR="00E26295" w:rsidRPr="00642DF1">
                <w:rPr>
                  <w:rStyle w:val="Hyperlink"/>
                </w:rPr>
                <w:t>tender</w:t>
              </w:r>
              <w:r w:rsidR="00E26295" w:rsidRPr="00642DF1">
                <w:rPr>
                  <w:rStyle w:val="Hyperlink"/>
                  <w:noProof/>
                </w:rPr>
                <w:t>@etheridge.qld.gov.au</w:t>
              </w:r>
            </w:hyperlink>
            <w:r w:rsidRPr="00796C17">
              <w:t xml:space="preserve"> no later than </w:t>
            </w:r>
            <w:r w:rsidR="00E26295">
              <w:t>2</w:t>
            </w:r>
            <w:r w:rsidR="00AA4771">
              <w:t>1</w:t>
            </w:r>
            <w:r w:rsidRPr="00796C17">
              <w:t xml:space="preserve"> calendar days prior to the time stated in Item 4</w:t>
            </w:r>
            <w:r>
              <w:t xml:space="preserve"> </w:t>
            </w:r>
          </w:p>
        </w:tc>
      </w:tr>
      <w:tr w:rsidR="001E6C2B" w:rsidRPr="00842756" w14:paraId="4964B521" w14:textId="77777777" w:rsidTr="00913C25">
        <w:trPr>
          <w:trHeight w:val="575"/>
        </w:trPr>
        <w:tc>
          <w:tcPr>
            <w:tcW w:w="2268" w:type="dxa"/>
            <w:vMerge w:val="restart"/>
            <w:shd w:val="clear" w:color="auto" w:fill="F2F2F2" w:themeFill="background1" w:themeFillShade="F2"/>
          </w:tcPr>
          <w:p w14:paraId="16DD8D6F" w14:textId="77777777" w:rsidR="001E6C2B" w:rsidRPr="00796C17" w:rsidRDefault="001E6C2B" w:rsidP="00F7667F">
            <w:pPr>
              <w:pStyle w:val="OLSchedule1"/>
            </w:pPr>
            <w:r w:rsidRPr="00796C17">
              <w:t>Briefing or site inspection:</w:t>
            </w:r>
          </w:p>
        </w:tc>
        <w:tc>
          <w:tcPr>
            <w:tcW w:w="2552" w:type="dxa"/>
            <w:shd w:val="clear" w:color="auto" w:fill="D9D9D9" w:themeFill="background1" w:themeFillShade="D9"/>
          </w:tcPr>
          <w:p w14:paraId="4C87AA00" w14:textId="77777777" w:rsidR="001E6C2B" w:rsidRPr="00796C17" w:rsidRDefault="001E6C2B" w:rsidP="0095586B">
            <w:pPr>
              <w:pStyle w:val="OLTableText"/>
              <w:rPr>
                <w:noProof/>
              </w:rPr>
            </w:pPr>
            <w:r w:rsidRPr="00796C17">
              <w:rPr>
                <w:noProof/>
              </w:rPr>
              <w:t>Details</w:t>
            </w:r>
          </w:p>
        </w:tc>
        <w:tc>
          <w:tcPr>
            <w:tcW w:w="1843" w:type="dxa"/>
            <w:shd w:val="clear" w:color="auto" w:fill="D9D9D9" w:themeFill="background1" w:themeFillShade="D9"/>
          </w:tcPr>
          <w:p w14:paraId="0B919134" w14:textId="77777777" w:rsidR="001E6C2B" w:rsidRPr="00796C17" w:rsidRDefault="001E6C2B" w:rsidP="0095586B">
            <w:pPr>
              <w:pStyle w:val="OLTableText"/>
              <w:rPr>
                <w:noProof/>
              </w:rPr>
            </w:pPr>
            <w:r w:rsidRPr="00796C17">
              <w:rPr>
                <w:spacing w:val="-2"/>
              </w:rPr>
              <w:t>Maximum attendees</w:t>
            </w:r>
          </w:p>
        </w:tc>
        <w:tc>
          <w:tcPr>
            <w:tcW w:w="1275" w:type="dxa"/>
            <w:shd w:val="clear" w:color="auto" w:fill="D9D9D9" w:themeFill="background1" w:themeFillShade="D9"/>
          </w:tcPr>
          <w:p w14:paraId="6A7C2B24" w14:textId="6061F7D2" w:rsidR="001E6C2B" w:rsidRPr="00796C17" w:rsidRDefault="001E6C2B" w:rsidP="0095586B">
            <w:pPr>
              <w:pStyle w:val="OLTableText"/>
              <w:rPr>
                <w:noProof/>
              </w:rPr>
            </w:pPr>
            <w:r w:rsidRPr="00E94094">
              <w:rPr>
                <w:spacing w:val="-2"/>
              </w:rPr>
              <w:t>Mandatory</w:t>
            </w:r>
            <w:r w:rsidRPr="00796C17">
              <w:rPr>
                <w:spacing w:val="-2"/>
              </w:rPr>
              <w:t xml:space="preserve"> </w:t>
            </w:r>
          </w:p>
        </w:tc>
        <w:tc>
          <w:tcPr>
            <w:tcW w:w="2552" w:type="dxa"/>
            <w:gridSpan w:val="2"/>
            <w:shd w:val="clear" w:color="auto" w:fill="D9D9D9" w:themeFill="background1" w:themeFillShade="D9"/>
          </w:tcPr>
          <w:p w14:paraId="388FE736" w14:textId="77777777" w:rsidR="001E6C2B" w:rsidRPr="00796C17" w:rsidRDefault="001E6C2B" w:rsidP="0095586B">
            <w:pPr>
              <w:pStyle w:val="OLTableText"/>
              <w:rPr>
                <w:noProof/>
              </w:rPr>
            </w:pPr>
            <w:r w:rsidRPr="00796C17">
              <w:t xml:space="preserve">RSVP </w:t>
            </w:r>
          </w:p>
        </w:tc>
      </w:tr>
      <w:tr w:rsidR="001E6C2B" w:rsidRPr="00842756" w14:paraId="52425F32" w14:textId="77777777" w:rsidTr="00913C25">
        <w:trPr>
          <w:trHeight w:val="573"/>
        </w:trPr>
        <w:tc>
          <w:tcPr>
            <w:tcW w:w="2268" w:type="dxa"/>
            <w:vMerge/>
            <w:shd w:val="clear" w:color="auto" w:fill="F2F2F2" w:themeFill="background1" w:themeFillShade="F2"/>
          </w:tcPr>
          <w:p w14:paraId="091093D5" w14:textId="77777777" w:rsidR="001E6C2B" w:rsidRPr="00796C17" w:rsidRDefault="001E6C2B" w:rsidP="00F7667F">
            <w:pPr>
              <w:pStyle w:val="OLSchedule1"/>
            </w:pPr>
          </w:p>
        </w:tc>
        <w:tc>
          <w:tcPr>
            <w:tcW w:w="2552" w:type="dxa"/>
            <w:shd w:val="clear" w:color="auto" w:fill="auto"/>
          </w:tcPr>
          <w:p w14:paraId="5C040255" w14:textId="2D8B9943" w:rsidR="001E6C2B" w:rsidRPr="00796C17" w:rsidRDefault="00983647" w:rsidP="0095586B">
            <w:pPr>
              <w:pStyle w:val="OLTableText"/>
              <w:rPr>
                <w:noProof/>
              </w:rPr>
            </w:pPr>
            <w:r>
              <w:rPr>
                <w:noProof/>
              </w:rPr>
              <w:t>Multiple Sites</w:t>
            </w:r>
          </w:p>
        </w:tc>
        <w:tc>
          <w:tcPr>
            <w:tcW w:w="1843" w:type="dxa"/>
            <w:shd w:val="clear" w:color="auto" w:fill="auto"/>
          </w:tcPr>
          <w:p w14:paraId="20DA5A50" w14:textId="46FA8E19" w:rsidR="001E6C2B" w:rsidRPr="00796C17" w:rsidRDefault="00A019B5" w:rsidP="0095586B">
            <w:pPr>
              <w:pStyle w:val="OLTableText"/>
              <w:rPr>
                <w:noProof/>
              </w:rPr>
            </w:pPr>
            <w:r>
              <w:rPr>
                <w:noProof/>
              </w:rPr>
              <w:t>NA</w:t>
            </w:r>
          </w:p>
        </w:tc>
        <w:tc>
          <w:tcPr>
            <w:tcW w:w="1275" w:type="dxa"/>
            <w:shd w:val="clear" w:color="auto" w:fill="auto"/>
          </w:tcPr>
          <w:p w14:paraId="73C763F6" w14:textId="01B35F45" w:rsidR="00650FDB" w:rsidRPr="00796C17" w:rsidRDefault="00E3688B" w:rsidP="0095586B">
            <w:pPr>
              <w:pStyle w:val="OLTableText"/>
              <w:rPr>
                <w:noProof/>
              </w:rPr>
            </w:pPr>
            <w:r>
              <w:rPr>
                <w:noProof/>
              </w:rPr>
              <w:t>NA</w:t>
            </w:r>
          </w:p>
        </w:tc>
        <w:tc>
          <w:tcPr>
            <w:tcW w:w="2552" w:type="dxa"/>
            <w:gridSpan w:val="2"/>
            <w:shd w:val="clear" w:color="auto" w:fill="auto"/>
          </w:tcPr>
          <w:p w14:paraId="4352B759" w14:textId="420851B6" w:rsidR="001E6C2B" w:rsidRPr="00796C17" w:rsidRDefault="00767C0F" w:rsidP="0095586B">
            <w:pPr>
              <w:pStyle w:val="OLTableText"/>
              <w:rPr>
                <w:noProof/>
              </w:rPr>
            </w:pPr>
            <w:r>
              <w:rPr>
                <w:noProof/>
              </w:rPr>
              <w:t xml:space="preserve">Tenderers are welcome to visit site </w:t>
            </w:r>
            <w:r w:rsidR="00A019B5">
              <w:rPr>
                <w:noProof/>
              </w:rPr>
              <w:t xml:space="preserve">at their convenience. </w:t>
            </w:r>
          </w:p>
        </w:tc>
      </w:tr>
      <w:tr w:rsidR="001E6C2B" w:rsidRPr="00842756" w14:paraId="4D38E206" w14:textId="77777777" w:rsidTr="002815C5">
        <w:tc>
          <w:tcPr>
            <w:tcW w:w="2268" w:type="dxa"/>
            <w:shd w:val="clear" w:color="auto" w:fill="F2F2F2" w:themeFill="background1" w:themeFillShade="F2"/>
          </w:tcPr>
          <w:p w14:paraId="4C78CC05" w14:textId="5C3B4A47" w:rsidR="001E6C2B" w:rsidRPr="00E01203" w:rsidRDefault="001E6C2B" w:rsidP="00F7667F">
            <w:pPr>
              <w:pStyle w:val="OLSchedule1"/>
            </w:pPr>
            <w:r w:rsidRPr="00796C17">
              <w:t>Submission of Tender</w:t>
            </w:r>
            <w:r w:rsidR="006B1F97">
              <w:t>:</w:t>
            </w:r>
          </w:p>
        </w:tc>
        <w:tc>
          <w:tcPr>
            <w:tcW w:w="8222" w:type="dxa"/>
            <w:gridSpan w:val="5"/>
          </w:tcPr>
          <w:p w14:paraId="5FFECE30" w14:textId="12B95DE0" w:rsidR="001E6C2B" w:rsidRPr="00796C17" w:rsidRDefault="001E6C2B" w:rsidP="0095586B">
            <w:pPr>
              <w:pStyle w:val="OLTableText"/>
            </w:pPr>
            <w:r w:rsidRPr="00796C17">
              <w:t xml:space="preserve">Tenders must be submitted </w:t>
            </w:r>
            <w:r w:rsidR="008879F4">
              <w:t xml:space="preserve">by email to </w:t>
            </w:r>
            <w:hyperlink r:id="rId17" w:history="1">
              <w:r w:rsidR="00E26295" w:rsidRPr="00642DF1">
                <w:rPr>
                  <w:rStyle w:val="Hyperlink"/>
                </w:rPr>
                <w:t>tender</w:t>
              </w:r>
              <w:r w:rsidR="00E26295" w:rsidRPr="00642DF1">
                <w:rPr>
                  <w:rStyle w:val="Hyperlink"/>
                  <w:noProof/>
                </w:rPr>
                <w:t>@etheridge.qld.gov.au</w:t>
              </w:r>
            </w:hyperlink>
            <w:r w:rsidR="008879F4">
              <w:t xml:space="preserve"> </w:t>
            </w:r>
            <w:r w:rsidRPr="00796C17">
              <w:rPr>
                <w:spacing w:val="-2"/>
              </w:rPr>
              <w:t xml:space="preserve">by no later than </w:t>
            </w:r>
            <w:r w:rsidR="00B93E32">
              <w:t>0300</w:t>
            </w:r>
            <w:r w:rsidR="000E2234">
              <w:t xml:space="preserve"> PM</w:t>
            </w:r>
            <w:r w:rsidRPr="00796C17">
              <w:t xml:space="preserve"> on</w:t>
            </w:r>
            <w:r w:rsidR="000E2234">
              <w:t xml:space="preserve"> </w:t>
            </w:r>
            <w:r w:rsidR="0061098F">
              <w:t>13</w:t>
            </w:r>
            <w:r w:rsidR="0061098F" w:rsidRPr="0061098F">
              <w:rPr>
                <w:vertAlign w:val="superscript"/>
              </w:rPr>
              <w:t>th</w:t>
            </w:r>
            <w:r w:rsidR="0061098F">
              <w:t xml:space="preserve"> December </w:t>
            </w:r>
            <w:r w:rsidR="002B7D9F">
              <w:t>2024.</w:t>
            </w:r>
          </w:p>
        </w:tc>
      </w:tr>
      <w:tr w:rsidR="001E6C2B" w:rsidRPr="00842756" w14:paraId="4510345A" w14:textId="77777777" w:rsidTr="002815C5">
        <w:tc>
          <w:tcPr>
            <w:tcW w:w="2268" w:type="dxa"/>
            <w:vMerge w:val="restart"/>
            <w:shd w:val="clear" w:color="auto" w:fill="F2F2F2" w:themeFill="background1" w:themeFillShade="F2"/>
            <w:hideMark/>
          </w:tcPr>
          <w:p w14:paraId="1A43F12D" w14:textId="480AEF14" w:rsidR="001E6C2B" w:rsidRPr="00E01203" w:rsidRDefault="001E6C2B" w:rsidP="00F7667F">
            <w:pPr>
              <w:pStyle w:val="OLSchedule1"/>
            </w:pPr>
            <w:r w:rsidRPr="00E01203">
              <w:t>Evaluation Criteria</w:t>
            </w:r>
            <w:r w:rsidR="006B1F97">
              <w:t>:</w:t>
            </w:r>
          </w:p>
        </w:tc>
        <w:tc>
          <w:tcPr>
            <w:tcW w:w="5954" w:type="dxa"/>
            <w:gridSpan w:val="4"/>
            <w:shd w:val="clear" w:color="auto" w:fill="D9D9D9" w:themeFill="background1" w:themeFillShade="D9"/>
            <w:hideMark/>
          </w:tcPr>
          <w:p w14:paraId="3B87FB87" w14:textId="77777777" w:rsidR="001E6C2B" w:rsidRPr="00796C17" w:rsidRDefault="001E6C2B" w:rsidP="0095586B">
            <w:pPr>
              <w:pStyle w:val="OLTableText"/>
              <w:rPr>
                <w:bCs/>
              </w:rPr>
            </w:pPr>
            <w:r w:rsidRPr="00796C17">
              <w:rPr>
                <w:bCs/>
                <w:spacing w:val="-2"/>
              </w:rPr>
              <w:t>Evaluation Criteria</w:t>
            </w:r>
          </w:p>
        </w:tc>
        <w:tc>
          <w:tcPr>
            <w:tcW w:w="2268" w:type="dxa"/>
            <w:shd w:val="clear" w:color="auto" w:fill="D9D9D9" w:themeFill="background1" w:themeFillShade="D9"/>
            <w:hideMark/>
          </w:tcPr>
          <w:p w14:paraId="6AC93C03" w14:textId="77777777" w:rsidR="001E6C2B" w:rsidRPr="00796C17" w:rsidRDefault="001E6C2B" w:rsidP="0095586B">
            <w:pPr>
              <w:pStyle w:val="OLTableText"/>
              <w:rPr>
                <w:bCs/>
              </w:rPr>
            </w:pPr>
            <w:r w:rsidRPr="00796C17">
              <w:rPr>
                <w:bCs/>
                <w:spacing w:val="-2"/>
              </w:rPr>
              <w:t>Weighting (%) (Optional)</w:t>
            </w:r>
          </w:p>
        </w:tc>
      </w:tr>
      <w:tr w:rsidR="001E6C2B" w:rsidRPr="00842756" w14:paraId="5E80A442" w14:textId="77777777" w:rsidTr="002815C5">
        <w:tc>
          <w:tcPr>
            <w:tcW w:w="2268" w:type="dxa"/>
            <w:vMerge/>
            <w:shd w:val="clear" w:color="auto" w:fill="F2F2F2" w:themeFill="background1" w:themeFillShade="F2"/>
          </w:tcPr>
          <w:p w14:paraId="19B544E1" w14:textId="77777777" w:rsidR="001E6C2B" w:rsidRPr="00E01203" w:rsidRDefault="001E6C2B" w:rsidP="00F7667F">
            <w:pPr>
              <w:pStyle w:val="OLSchedule1"/>
            </w:pPr>
          </w:p>
        </w:tc>
        <w:tc>
          <w:tcPr>
            <w:tcW w:w="5954" w:type="dxa"/>
            <w:gridSpan w:val="4"/>
            <w:hideMark/>
          </w:tcPr>
          <w:p w14:paraId="5A201998" w14:textId="1FA1095E" w:rsidR="001E6C2B" w:rsidRPr="00796C17" w:rsidRDefault="00C02A68" w:rsidP="0095586B">
            <w:pPr>
              <w:pStyle w:val="OLTableText"/>
            </w:pPr>
            <w:r>
              <w:rPr>
                <w:noProof/>
              </w:rPr>
              <w:t>Capability and Experience</w:t>
            </w:r>
          </w:p>
        </w:tc>
        <w:tc>
          <w:tcPr>
            <w:tcW w:w="2268" w:type="dxa"/>
            <w:hideMark/>
          </w:tcPr>
          <w:p w14:paraId="1C82BC5B" w14:textId="3493E0B9" w:rsidR="00C02A68" w:rsidRPr="00796C17" w:rsidRDefault="00F55778" w:rsidP="0095586B">
            <w:pPr>
              <w:pStyle w:val="OLTableText"/>
              <w:rPr>
                <w:noProof/>
              </w:rPr>
            </w:pPr>
            <w:r>
              <w:rPr>
                <w:noProof/>
              </w:rPr>
              <w:t>30</w:t>
            </w:r>
          </w:p>
        </w:tc>
      </w:tr>
      <w:tr w:rsidR="001E6C2B" w:rsidRPr="00842756" w14:paraId="0ED17909" w14:textId="77777777" w:rsidTr="002815C5">
        <w:tc>
          <w:tcPr>
            <w:tcW w:w="2268" w:type="dxa"/>
            <w:vMerge/>
            <w:shd w:val="clear" w:color="auto" w:fill="F2F2F2" w:themeFill="background1" w:themeFillShade="F2"/>
          </w:tcPr>
          <w:p w14:paraId="082A5078" w14:textId="77777777" w:rsidR="001E6C2B" w:rsidRPr="00E01203" w:rsidRDefault="001E6C2B" w:rsidP="00F7667F">
            <w:pPr>
              <w:pStyle w:val="OLSchedule1"/>
            </w:pPr>
          </w:p>
        </w:tc>
        <w:tc>
          <w:tcPr>
            <w:tcW w:w="5954" w:type="dxa"/>
            <w:gridSpan w:val="4"/>
            <w:hideMark/>
          </w:tcPr>
          <w:p w14:paraId="5A5DD2ED" w14:textId="2820DB38" w:rsidR="001E6C2B" w:rsidRPr="00796C17" w:rsidRDefault="001E6C2B" w:rsidP="0095586B">
            <w:pPr>
              <w:pStyle w:val="OLTableText"/>
            </w:pPr>
          </w:p>
        </w:tc>
        <w:tc>
          <w:tcPr>
            <w:tcW w:w="2268" w:type="dxa"/>
            <w:hideMark/>
          </w:tcPr>
          <w:p w14:paraId="5C71A4F0" w14:textId="0F86CE29" w:rsidR="001E6C2B" w:rsidRPr="00796C17" w:rsidRDefault="001E6C2B" w:rsidP="0095586B">
            <w:pPr>
              <w:pStyle w:val="OLTableText"/>
            </w:pPr>
          </w:p>
        </w:tc>
      </w:tr>
      <w:tr w:rsidR="001E6C2B" w:rsidRPr="00842756" w14:paraId="2F0E39F0" w14:textId="77777777" w:rsidTr="002815C5">
        <w:tc>
          <w:tcPr>
            <w:tcW w:w="2268" w:type="dxa"/>
            <w:vMerge/>
            <w:shd w:val="clear" w:color="auto" w:fill="F2F2F2" w:themeFill="background1" w:themeFillShade="F2"/>
          </w:tcPr>
          <w:p w14:paraId="151D0CB0" w14:textId="77777777" w:rsidR="001E6C2B" w:rsidRPr="00E01203" w:rsidRDefault="001E6C2B" w:rsidP="00F7667F">
            <w:pPr>
              <w:pStyle w:val="OLSchedule1"/>
            </w:pPr>
          </w:p>
        </w:tc>
        <w:tc>
          <w:tcPr>
            <w:tcW w:w="5954" w:type="dxa"/>
            <w:gridSpan w:val="4"/>
          </w:tcPr>
          <w:p w14:paraId="167C7B2E" w14:textId="03FC2777" w:rsidR="001E6C2B" w:rsidRPr="00796C17" w:rsidRDefault="00C02A68" w:rsidP="0095586B">
            <w:pPr>
              <w:pStyle w:val="OLTableText"/>
              <w:rPr>
                <w:noProof/>
              </w:rPr>
            </w:pPr>
            <w:r>
              <w:rPr>
                <w:noProof/>
              </w:rPr>
              <w:t>Local Preference</w:t>
            </w:r>
          </w:p>
        </w:tc>
        <w:tc>
          <w:tcPr>
            <w:tcW w:w="2268" w:type="dxa"/>
          </w:tcPr>
          <w:p w14:paraId="408E52E0" w14:textId="2E5A2B7B" w:rsidR="001E6C2B" w:rsidRPr="00796C17" w:rsidRDefault="00C02A68" w:rsidP="0095586B">
            <w:pPr>
              <w:pStyle w:val="OLTableText"/>
              <w:rPr>
                <w:noProof/>
              </w:rPr>
            </w:pPr>
            <w:r>
              <w:rPr>
                <w:noProof/>
              </w:rPr>
              <w:t>10</w:t>
            </w:r>
          </w:p>
        </w:tc>
      </w:tr>
      <w:tr w:rsidR="001E6C2B" w:rsidRPr="00842756" w14:paraId="4E4BE1D9" w14:textId="77777777" w:rsidTr="002815C5">
        <w:tc>
          <w:tcPr>
            <w:tcW w:w="2268" w:type="dxa"/>
            <w:vMerge/>
            <w:shd w:val="clear" w:color="auto" w:fill="F2F2F2" w:themeFill="background1" w:themeFillShade="F2"/>
          </w:tcPr>
          <w:p w14:paraId="4FD16881" w14:textId="77777777" w:rsidR="001E6C2B" w:rsidRPr="00E01203" w:rsidRDefault="001E6C2B" w:rsidP="00F7667F">
            <w:pPr>
              <w:pStyle w:val="OLSchedule1"/>
            </w:pPr>
          </w:p>
        </w:tc>
        <w:tc>
          <w:tcPr>
            <w:tcW w:w="5954" w:type="dxa"/>
            <w:gridSpan w:val="4"/>
            <w:hideMark/>
          </w:tcPr>
          <w:p w14:paraId="2FA2FF2C" w14:textId="697D6AA3" w:rsidR="001E6C2B" w:rsidRPr="00796C17" w:rsidRDefault="002E5B50" w:rsidP="0095586B">
            <w:pPr>
              <w:pStyle w:val="OLTableText"/>
            </w:pPr>
            <w:r>
              <w:rPr>
                <w:noProof/>
              </w:rPr>
              <w:t>Value for Money</w:t>
            </w:r>
          </w:p>
        </w:tc>
        <w:tc>
          <w:tcPr>
            <w:tcW w:w="2268" w:type="dxa"/>
            <w:hideMark/>
          </w:tcPr>
          <w:p w14:paraId="1B23FA74" w14:textId="35E04281" w:rsidR="001E6C2B" w:rsidRPr="00796C17" w:rsidRDefault="002E5B50" w:rsidP="0095586B">
            <w:pPr>
              <w:pStyle w:val="OLTableText"/>
            </w:pPr>
            <w:r>
              <w:rPr>
                <w:noProof/>
              </w:rPr>
              <w:t>40</w:t>
            </w:r>
          </w:p>
        </w:tc>
      </w:tr>
      <w:tr w:rsidR="001E6C2B" w:rsidRPr="00842756" w14:paraId="2ADC3147" w14:textId="77777777" w:rsidTr="002815C5">
        <w:tc>
          <w:tcPr>
            <w:tcW w:w="2268" w:type="dxa"/>
            <w:vMerge/>
            <w:shd w:val="clear" w:color="auto" w:fill="F2F2F2" w:themeFill="background1" w:themeFillShade="F2"/>
          </w:tcPr>
          <w:p w14:paraId="50241407" w14:textId="77777777" w:rsidR="001E6C2B" w:rsidRPr="00E01203" w:rsidRDefault="001E6C2B" w:rsidP="00F7667F">
            <w:pPr>
              <w:pStyle w:val="OLSchedule1"/>
            </w:pPr>
          </w:p>
        </w:tc>
        <w:tc>
          <w:tcPr>
            <w:tcW w:w="5954" w:type="dxa"/>
            <w:gridSpan w:val="4"/>
          </w:tcPr>
          <w:p w14:paraId="1321345A" w14:textId="257AE70A" w:rsidR="001E6C2B" w:rsidRPr="00796C17" w:rsidRDefault="008879F4" w:rsidP="0095586B">
            <w:pPr>
              <w:pStyle w:val="OLTableText"/>
              <w:rPr>
                <w:noProof/>
              </w:rPr>
            </w:pPr>
            <w:r>
              <w:rPr>
                <w:noProof/>
              </w:rPr>
              <w:t xml:space="preserve">Quality, </w:t>
            </w:r>
            <w:r w:rsidR="002E5B50">
              <w:rPr>
                <w:noProof/>
              </w:rPr>
              <w:t>Safety, Environ</w:t>
            </w:r>
            <w:r>
              <w:rPr>
                <w:noProof/>
              </w:rPr>
              <w:t>ment</w:t>
            </w:r>
            <w:r w:rsidR="002E5B50">
              <w:rPr>
                <w:noProof/>
              </w:rPr>
              <w:t xml:space="preserve"> Management Sytems</w:t>
            </w:r>
          </w:p>
        </w:tc>
        <w:tc>
          <w:tcPr>
            <w:tcW w:w="2268" w:type="dxa"/>
          </w:tcPr>
          <w:p w14:paraId="7BE21212" w14:textId="1581B589" w:rsidR="001E6C2B" w:rsidRPr="00796C17" w:rsidRDefault="002E5B50" w:rsidP="0095586B">
            <w:pPr>
              <w:pStyle w:val="OLTableText"/>
              <w:rPr>
                <w:noProof/>
              </w:rPr>
            </w:pPr>
            <w:r>
              <w:rPr>
                <w:noProof/>
              </w:rPr>
              <w:t>20</w:t>
            </w:r>
            <w:r w:rsidR="001E6C2B" w:rsidRPr="00796C17">
              <w:rPr>
                <w:noProof/>
              </w:rPr>
              <w:fldChar w:fldCharType="begin">
                <w:ffData>
                  <w:name w:val=""/>
                  <w:enabled/>
                  <w:calcOnExit w:val="0"/>
                  <w:textInput/>
                </w:ffData>
              </w:fldChar>
            </w:r>
            <w:r w:rsidR="001E6C2B" w:rsidRPr="00796C17">
              <w:rPr>
                <w:noProof/>
              </w:rPr>
              <w:instrText xml:space="preserve"> FORMTEXT </w:instrText>
            </w:r>
            <w:r w:rsidR="001E6C2B" w:rsidRPr="00796C17">
              <w:rPr>
                <w:noProof/>
              </w:rPr>
            </w:r>
            <w:r w:rsidR="001E6C2B" w:rsidRPr="00796C17">
              <w:rPr>
                <w:noProof/>
              </w:rPr>
              <w:fldChar w:fldCharType="separate"/>
            </w:r>
            <w:r w:rsidR="001E6C2B" w:rsidRPr="00796C17">
              <w:rPr>
                <w:noProof/>
              </w:rPr>
              <w:fldChar w:fldCharType="end"/>
            </w:r>
          </w:p>
        </w:tc>
      </w:tr>
      <w:tr w:rsidR="001E6C2B" w:rsidRPr="00842756" w14:paraId="3B77F5C7" w14:textId="77777777" w:rsidTr="002815C5">
        <w:trPr>
          <w:trHeight w:val="400"/>
        </w:trPr>
        <w:tc>
          <w:tcPr>
            <w:tcW w:w="2268" w:type="dxa"/>
            <w:shd w:val="clear" w:color="auto" w:fill="F2F2F2" w:themeFill="background1" w:themeFillShade="F2"/>
            <w:hideMark/>
          </w:tcPr>
          <w:p w14:paraId="5C754AB2" w14:textId="77777777" w:rsidR="001E6C2B" w:rsidRPr="00E01203" w:rsidRDefault="001E6C2B" w:rsidP="00F7667F">
            <w:pPr>
              <w:pStyle w:val="OLSchedule1"/>
            </w:pPr>
            <w:r w:rsidRPr="00E01203">
              <w:t>Tenders to be valid for:</w:t>
            </w:r>
          </w:p>
        </w:tc>
        <w:tc>
          <w:tcPr>
            <w:tcW w:w="8222" w:type="dxa"/>
            <w:gridSpan w:val="5"/>
            <w:hideMark/>
          </w:tcPr>
          <w:p w14:paraId="1ABF644F" w14:textId="590D3DE8" w:rsidR="001E6C2B" w:rsidRPr="00796C17" w:rsidRDefault="001E6C2B" w:rsidP="0095586B">
            <w:pPr>
              <w:pStyle w:val="OLTableText"/>
            </w:pPr>
            <w:r w:rsidRPr="00796C17">
              <w:t xml:space="preserve">90 calendar </w:t>
            </w:r>
            <w:r w:rsidR="00D6168A">
              <w:t xml:space="preserve">days </w:t>
            </w:r>
            <w:r w:rsidRPr="00796C17">
              <w:t xml:space="preserve">after the time stated in Item 4 </w:t>
            </w:r>
            <w:r w:rsidR="00697D51">
              <w:t>(as extended if at all, pursuant to the Procurement Process Conditions)</w:t>
            </w:r>
          </w:p>
        </w:tc>
      </w:tr>
      <w:tr w:rsidR="001E6C2B" w:rsidRPr="00842756" w14:paraId="6F156A59" w14:textId="77777777" w:rsidTr="002815C5">
        <w:trPr>
          <w:trHeight w:val="329"/>
        </w:trPr>
        <w:tc>
          <w:tcPr>
            <w:tcW w:w="2268" w:type="dxa"/>
            <w:shd w:val="clear" w:color="auto" w:fill="F2F2F2" w:themeFill="background1" w:themeFillShade="F2"/>
          </w:tcPr>
          <w:p w14:paraId="041CAD49" w14:textId="77777777" w:rsidR="001E6C2B" w:rsidRPr="00E01203" w:rsidRDefault="001E6C2B" w:rsidP="00F7667F">
            <w:pPr>
              <w:pStyle w:val="OLSchedule1"/>
            </w:pPr>
            <w:r w:rsidRPr="00E01203">
              <w:t>Complaints:</w:t>
            </w:r>
          </w:p>
        </w:tc>
        <w:tc>
          <w:tcPr>
            <w:tcW w:w="8222" w:type="dxa"/>
            <w:gridSpan w:val="5"/>
          </w:tcPr>
          <w:p w14:paraId="5B3082C3" w14:textId="148EFBCB" w:rsidR="002E5B50" w:rsidRPr="00796C17" w:rsidRDefault="001E6C2B" w:rsidP="0095586B">
            <w:pPr>
              <w:pStyle w:val="OLTableText"/>
              <w:rPr>
                <w:noProof/>
              </w:rPr>
            </w:pPr>
            <w:r w:rsidRPr="00796C17">
              <w:rPr>
                <w:noProof/>
              </w:rPr>
              <w:t xml:space="preserve">Complaints regarding </w:t>
            </w:r>
            <w:r w:rsidR="00D63875">
              <w:rPr>
                <w:noProof/>
              </w:rPr>
              <w:t>P</w:t>
            </w:r>
            <w:r w:rsidR="00D63875" w:rsidRPr="00796C17">
              <w:rPr>
                <w:noProof/>
              </w:rPr>
              <w:t xml:space="preserve">rocurement </w:t>
            </w:r>
            <w:r w:rsidR="00D63875">
              <w:rPr>
                <w:noProof/>
              </w:rPr>
              <w:t>P</w:t>
            </w:r>
            <w:r w:rsidR="00D63875" w:rsidRPr="00796C17">
              <w:rPr>
                <w:noProof/>
              </w:rPr>
              <w:t xml:space="preserve">rocess </w:t>
            </w:r>
            <w:r w:rsidRPr="00796C17">
              <w:rPr>
                <w:noProof/>
              </w:rPr>
              <w:t xml:space="preserve">to be directed to </w:t>
            </w:r>
            <w:hyperlink r:id="rId18" w:history="1">
              <w:r w:rsidR="00E26295" w:rsidRPr="00642DF1">
                <w:rPr>
                  <w:rStyle w:val="Hyperlink"/>
                </w:rPr>
                <w:t>tender</w:t>
              </w:r>
              <w:r w:rsidR="00E26295" w:rsidRPr="00642DF1">
                <w:rPr>
                  <w:rStyle w:val="Hyperlink"/>
                  <w:noProof/>
                </w:rPr>
                <w:t>@etheridge.qld.gov.au</w:t>
              </w:r>
            </w:hyperlink>
          </w:p>
        </w:tc>
      </w:tr>
      <w:tr w:rsidR="001E6C2B" w:rsidRPr="00842756" w14:paraId="77E80457" w14:textId="77777777" w:rsidTr="00CA4CC6">
        <w:tc>
          <w:tcPr>
            <w:tcW w:w="10490" w:type="dxa"/>
            <w:gridSpan w:val="6"/>
            <w:tcBorders>
              <w:bottom w:val="single" w:sz="4" w:space="0" w:color="auto"/>
            </w:tcBorders>
            <w:shd w:val="clear" w:color="auto" w:fill="BFBFBF" w:themeFill="background1" w:themeFillShade="BF"/>
            <w:vAlign w:val="center"/>
          </w:tcPr>
          <w:p w14:paraId="239DCDAC" w14:textId="387A9D4C" w:rsidR="001E6C2B" w:rsidRPr="00796C17" w:rsidRDefault="001E6C2B" w:rsidP="0095586B">
            <w:pPr>
              <w:pStyle w:val="OLTableText"/>
              <w:rPr>
                <w:bCs/>
                <w:spacing w:val="-2"/>
              </w:rPr>
            </w:pPr>
            <w:r w:rsidRPr="00796C17">
              <w:rPr>
                <w:b/>
              </w:rPr>
              <w:t xml:space="preserve">PART 3 – </w:t>
            </w:r>
            <w:r w:rsidRPr="00E94094">
              <w:rPr>
                <w:b/>
              </w:rPr>
              <w:t>PROCUREMENT</w:t>
            </w:r>
            <w:r w:rsidRPr="00796C17">
              <w:rPr>
                <w:b/>
              </w:rPr>
              <w:t xml:space="preserve"> </w:t>
            </w:r>
            <w:r w:rsidRPr="00E94094">
              <w:rPr>
                <w:b/>
              </w:rPr>
              <w:t>PROCESS</w:t>
            </w:r>
            <w:r w:rsidRPr="00796C17">
              <w:rPr>
                <w:b/>
              </w:rPr>
              <w:t xml:space="preserve"> CONDITIONS</w:t>
            </w:r>
            <w:r w:rsidR="00D51E42">
              <w:rPr>
                <w:b/>
              </w:rPr>
              <w:t xml:space="preserve"> </w:t>
            </w:r>
          </w:p>
        </w:tc>
      </w:tr>
      <w:tr w:rsidR="004E48A6" w:rsidRPr="00842756" w14:paraId="2D6C2ABA" w14:textId="77777777" w:rsidTr="00CA4CC6">
        <w:trPr>
          <w:trHeight w:val="110"/>
        </w:trPr>
        <w:tc>
          <w:tcPr>
            <w:tcW w:w="10490" w:type="dxa"/>
            <w:gridSpan w:val="6"/>
            <w:tcBorders>
              <w:top w:val="single" w:sz="4" w:space="0" w:color="auto"/>
              <w:bottom w:val="single" w:sz="4" w:space="0" w:color="auto"/>
            </w:tcBorders>
            <w:shd w:val="clear" w:color="auto" w:fill="FFFFFF" w:themeFill="background1"/>
          </w:tcPr>
          <w:p w14:paraId="4F7743AD" w14:textId="124395F8" w:rsidR="004E48A6" w:rsidRPr="00796C17" w:rsidRDefault="004E48A6" w:rsidP="0095586B">
            <w:pPr>
              <w:pStyle w:val="OLTableText"/>
              <w:rPr>
                <w:bCs/>
                <w:spacing w:val="-2"/>
              </w:rPr>
            </w:pPr>
            <w:r w:rsidRPr="00F37776">
              <w:rPr>
                <w:bCs/>
                <w:spacing w:val="-2"/>
              </w:rPr>
              <w:t>The Procurement Process is governed by, and this Request for Tender is to be read in conjunction with, the Procurement Process Conditions</w:t>
            </w:r>
            <w:r>
              <w:rPr>
                <w:bCs/>
                <w:spacing w:val="-2"/>
              </w:rPr>
              <w:t xml:space="preserve"> </w:t>
            </w:r>
            <w:r w:rsidRPr="00F37776">
              <w:t>attached</w:t>
            </w:r>
            <w:r w:rsidRPr="00F37776">
              <w:rPr>
                <w:bCs/>
                <w:spacing w:val="-2"/>
              </w:rPr>
              <w:t xml:space="preserve"> to or provided with this Request for Tender and identified as </w:t>
            </w:r>
            <w:r w:rsidR="002E5B50">
              <w:rPr>
                <w:noProof/>
              </w:rPr>
              <w:t>Procurement</w:t>
            </w:r>
            <w:r w:rsidR="00097156">
              <w:rPr>
                <w:noProof/>
              </w:rPr>
              <w:t>-</w:t>
            </w:r>
            <w:r w:rsidR="002E5B50">
              <w:rPr>
                <w:noProof/>
              </w:rPr>
              <w:t>Process</w:t>
            </w:r>
            <w:r w:rsidR="00097156">
              <w:rPr>
                <w:noProof/>
              </w:rPr>
              <w:t>-</w:t>
            </w:r>
            <w:r w:rsidR="002E5B50">
              <w:rPr>
                <w:noProof/>
              </w:rPr>
              <w:t>Conditions.</w:t>
            </w:r>
          </w:p>
        </w:tc>
      </w:tr>
      <w:tr w:rsidR="001E6C2B" w:rsidRPr="00237721" w14:paraId="30BF74D8" w14:textId="77777777" w:rsidTr="00CA4CC6">
        <w:tc>
          <w:tcPr>
            <w:tcW w:w="10490" w:type="dxa"/>
            <w:gridSpan w:val="6"/>
            <w:tcBorders>
              <w:bottom w:val="single" w:sz="4" w:space="0" w:color="auto"/>
            </w:tcBorders>
            <w:shd w:val="clear" w:color="auto" w:fill="BFBFBF" w:themeFill="background1" w:themeFillShade="BF"/>
            <w:vAlign w:val="center"/>
          </w:tcPr>
          <w:p w14:paraId="71FDCD72" w14:textId="462C0000" w:rsidR="001E6C2B" w:rsidRPr="00796C17" w:rsidRDefault="001E6C2B" w:rsidP="0095586B">
            <w:pPr>
              <w:pStyle w:val="OLTableText"/>
              <w:rPr>
                <w:b/>
                <w:noProof/>
              </w:rPr>
            </w:pPr>
            <w:r w:rsidRPr="00796C17">
              <w:rPr>
                <w:b/>
              </w:rPr>
              <w:t>PART 4 – CONTRACT</w:t>
            </w:r>
            <w:r w:rsidR="00650FDB">
              <w:rPr>
                <w:b/>
              </w:rPr>
              <w:t xml:space="preserve"> </w:t>
            </w:r>
          </w:p>
        </w:tc>
      </w:tr>
      <w:tr w:rsidR="004E48A6" w:rsidRPr="00237721" w14:paraId="6798D714" w14:textId="77777777" w:rsidTr="00CA4CC6">
        <w:trPr>
          <w:trHeight w:val="82"/>
        </w:trPr>
        <w:tc>
          <w:tcPr>
            <w:tcW w:w="10490" w:type="dxa"/>
            <w:gridSpan w:val="6"/>
            <w:tcBorders>
              <w:top w:val="single" w:sz="4" w:space="0" w:color="auto"/>
            </w:tcBorders>
            <w:shd w:val="clear" w:color="auto" w:fill="auto"/>
          </w:tcPr>
          <w:p w14:paraId="6F3BE3A3" w14:textId="3364E3D9" w:rsidR="004E48A6" w:rsidRPr="00796C17" w:rsidRDefault="00E26295" w:rsidP="0095586B">
            <w:pPr>
              <w:pStyle w:val="OLTableText"/>
              <w:rPr>
                <w:noProof/>
              </w:rPr>
            </w:pPr>
            <w:r w:rsidRPr="003824E7">
              <w:t>The contract</w:t>
            </w:r>
            <w:r w:rsidR="003E3143">
              <w:t xml:space="preserve"> is schedule of rates</w:t>
            </w:r>
            <w:r w:rsidRPr="003824E7">
              <w:t xml:space="preserve"> </w:t>
            </w:r>
            <w:r w:rsidR="00A445AE">
              <w:t xml:space="preserve">and </w:t>
            </w:r>
            <w:r w:rsidRPr="003824E7">
              <w:t>shall be substantially in the form attached to or provided with this Request for Tender and identified as</w:t>
            </w:r>
            <w:r w:rsidR="00F259F5">
              <w:t xml:space="preserve"> Contract</w:t>
            </w:r>
            <w:r w:rsidR="00097156">
              <w:t>-</w:t>
            </w:r>
            <w:r w:rsidR="00F259F5">
              <w:t>Construct</w:t>
            </w:r>
            <w:r w:rsidR="00097156">
              <w:t>-</w:t>
            </w:r>
            <w:r w:rsidR="00F259F5">
              <w:t>Only</w:t>
            </w:r>
            <w:r w:rsidR="00097156">
              <w:t>-</w:t>
            </w:r>
            <w:r w:rsidR="00F259F5">
              <w:t>Standard</w:t>
            </w:r>
            <w:r w:rsidR="00097156">
              <w:t>-</w:t>
            </w:r>
            <w:r w:rsidR="00F259F5">
              <w:t>Risk.</w:t>
            </w:r>
            <w:r w:rsidR="00A445AE">
              <w:t xml:space="preserve"> </w:t>
            </w:r>
          </w:p>
        </w:tc>
      </w:tr>
      <w:tr w:rsidR="003930BF" w:rsidRPr="00237721" w14:paraId="77026372" w14:textId="77777777" w:rsidTr="005C2A0F">
        <w:tc>
          <w:tcPr>
            <w:tcW w:w="104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09F4D4" w14:textId="698BD671" w:rsidR="003930BF" w:rsidRPr="00796C17" w:rsidRDefault="003930BF" w:rsidP="0095586B">
            <w:pPr>
              <w:pStyle w:val="OLTableText"/>
              <w:rPr>
                <w:noProof/>
              </w:rPr>
            </w:pPr>
            <w:r w:rsidRPr="00796C17">
              <w:rPr>
                <w:b/>
              </w:rPr>
              <w:t xml:space="preserve">PART 5 – </w:t>
            </w:r>
            <w:r w:rsidRPr="00E94094">
              <w:rPr>
                <w:b/>
              </w:rPr>
              <w:t>SCOPE</w:t>
            </w:r>
          </w:p>
        </w:tc>
      </w:tr>
      <w:tr w:rsidR="004E48A6" w:rsidRPr="00237721" w14:paraId="43309DBC" w14:textId="77777777" w:rsidTr="006C6E5C">
        <w:trPr>
          <w:trHeight w:val="165"/>
        </w:trPr>
        <w:tc>
          <w:tcPr>
            <w:tcW w:w="10490" w:type="dxa"/>
            <w:gridSpan w:val="6"/>
            <w:tcBorders>
              <w:top w:val="single" w:sz="4" w:space="0" w:color="auto"/>
              <w:left w:val="single" w:sz="4" w:space="0" w:color="auto"/>
              <w:bottom w:val="nil"/>
              <w:right w:val="single" w:sz="4" w:space="0" w:color="auto"/>
            </w:tcBorders>
            <w:shd w:val="clear" w:color="auto" w:fill="auto"/>
          </w:tcPr>
          <w:p w14:paraId="2D128340" w14:textId="1D3C82B1" w:rsidR="00FF0D77" w:rsidRDefault="004C6A96" w:rsidP="00FF0D77">
            <w:pPr>
              <w:pStyle w:val="OLTableText"/>
              <w:numPr>
                <w:ilvl w:val="0"/>
                <w:numId w:val="15"/>
              </w:numPr>
              <w:rPr>
                <w:noProof/>
              </w:rPr>
            </w:pPr>
            <w:r>
              <w:rPr>
                <w:noProof/>
              </w:rPr>
              <w:t>Emergent Supervision</w:t>
            </w:r>
          </w:p>
          <w:p w14:paraId="58B239E8" w14:textId="419FB411" w:rsidR="00E42036" w:rsidRDefault="00E42036" w:rsidP="00FF0D77">
            <w:pPr>
              <w:pStyle w:val="OLTableText"/>
              <w:numPr>
                <w:ilvl w:val="0"/>
                <w:numId w:val="15"/>
              </w:numPr>
              <w:rPr>
                <w:noProof/>
              </w:rPr>
            </w:pPr>
            <w:r>
              <w:rPr>
                <w:noProof/>
              </w:rPr>
              <w:t xml:space="preserve">Detailed damage </w:t>
            </w:r>
            <w:r w:rsidR="00601A82">
              <w:rPr>
                <w:noProof/>
              </w:rPr>
              <w:t xml:space="preserve"> and </w:t>
            </w:r>
            <w:r w:rsidR="00F55778">
              <w:rPr>
                <w:noProof/>
              </w:rPr>
              <w:t>Engineering</w:t>
            </w:r>
            <w:r w:rsidR="00601A82">
              <w:rPr>
                <w:noProof/>
              </w:rPr>
              <w:t xml:space="preserve"> Inspections</w:t>
            </w:r>
            <w:r>
              <w:rPr>
                <w:noProof/>
              </w:rPr>
              <w:t xml:space="preserve"> </w:t>
            </w:r>
          </w:p>
          <w:p w14:paraId="471B3F29" w14:textId="47F1733A" w:rsidR="00E42036" w:rsidRDefault="00E42036" w:rsidP="00FF0D77">
            <w:pPr>
              <w:pStyle w:val="Default"/>
              <w:numPr>
                <w:ilvl w:val="0"/>
                <w:numId w:val="15"/>
              </w:numPr>
              <w:spacing w:after="166"/>
              <w:rPr>
                <w:sz w:val="20"/>
                <w:szCs w:val="20"/>
              </w:rPr>
            </w:pPr>
            <w:r>
              <w:rPr>
                <w:sz w:val="20"/>
                <w:szCs w:val="20"/>
              </w:rPr>
              <w:t xml:space="preserve">Identification and selection of appropriate restoration treatments. </w:t>
            </w:r>
          </w:p>
          <w:p w14:paraId="7B52D9DD" w14:textId="77777777" w:rsidR="00E42036" w:rsidRDefault="00E42036" w:rsidP="00FF0D77">
            <w:pPr>
              <w:pStyle w:val="Default"/>
              <w:numPr>
                <w:ilvl w:val="0"/>
                <w:numId w:val="15"/>
              </w:numPr>
              <w:spacing w:after="166"/>
              <w:rPr>
                <w:sz w:val="20"/>
                <w:szCs w:val="20"/>
              </w:rPr>
            </w:pPr>
            <w:r>
              <w:rPr>
                <w:sz w:val="20"/>
                <w:szCs w:val="20"/>
              </w:rPr>
              <w:t xml:space="preserve">(c) Submission preparation and uploading same to the MARS-Portal (the </w:t>
            </w:r>
            <w:proofErr w:type="gramStart"/>
            <w:r>
              <w:rPr>
                <w:sz w:val="20"/>
                <w:szCs w:val="20"/>
              </w:rPr>
              <w:t>Principal</w:t>
            </w:r>
            <w:proofErr w:type="gramEnd"/>
            <w:r>
              <w:rPr>
                <w:sz w:val="20"/>
                <w:szCs w:val="20"/>
              </w:rPr>
              <w:t xml:space="preserve"> will lodge the submission); </w:t>
            </w:r>
          </w:p>
          <w:p w14:paraId="347CE88D" w14:textId="5A96C3E1" w:rsidR="00E42036" w:rsidRDefault="00E42036" w:rsidP="00FF0D77">
            <w:pPr>
              <w:pStyle w:val="Default"/>
              <w:numPr>
                <w:ilvl w:val="0"/>
                <w:numId w:val="15"/>
              </w:numPr>
              <w:spacing w:after="166"/>
              <w:rPr>
                <w:sz w:val="20"/>
                <w:szCs w:val="20"/>
              </w:rPr>
            </w:pPr>
            <w:r>
              <w:rPr>
                <w:sz w:val="20"/>
                <w:szCs w:val="20"/>
              </w:rPr>
              <w:t xml:space="preserve">(d) Liaison with QRA and participation in submission assessment processes including infield </w:t>
            </w:r>
            <w:r w:rsidR="005A2236">
              <w:rPr>
                <w:sz w:val="20"/>
                <w:szCs w:val="20"/>
              </w:rPr>
              <w:t>assessments.</w:t>
            </w:r>
            <w:r>
              <w:rPr>
                <w:sz w:val="20"/>
                <w:szCs w:val="20"/>
              </w:rPr>
              <w:t xml:space="preserve"> </w:t>
            </w:r>
          </w:p>
          <w:p w14:paraId="36F2270A" w14:textId="77777777" w:rsidR="00E42036" w:rsidRDefault="00E42036" w:rsidP="00FF0D77">
            <w:pPr>
              <w:pStyle w:val="Default"/>
              <w:numPr>
                <w:ilvl w:val="0"/>
                <w:numId w:val="15"/>
              </w:numPr>
              <w:spacing w:after="166"/>
              <w:rPr>
                <w:sz w:val="20"/>
                <w:szCs w:val="20"/>
              </w:rPr>
            </w:pPr>
            <w:r>
              <w:rPr>
                <w:sz w:val="20"/>
                <w:szCs w:val="20"/>
              </w:rPr>
              <w:t xml:space="preserve">(e) Development and implementation of procurement strategies, including definition of work packages appropriate for the local contracting market where </w:t>
            </w:r>
            <w:proofErr w:type="gramStart"/>
            <w:r>
              <w:rPr>
                <w:sz w:val="20"/>
                <w:szCs w:val="20"/>
              </w:rPr>
              <w:t>possible;</w:t>
            </w:r>
            <w:proofErr w:type="gramEnd"/>
            <w:r>
              <w:rPr>
                <w:sz w:val="20"/>
                <w:szCs w:val="20"/>
              </w:rPr>
              <w:t xml:space="preserve"> </w:t>
            </w:r>
          </w:p>
          <w:p w14:paraId="02D07EDB" w14:textId="26CBBA5B" w:rsidR="00E42036" w:rsidRDefault="00FF0D77" w:rsidP="00FF0D77">
            <w:pPr>
              <w:pStyle w:val="Default"/>
              <w:numPr>
                <w:ilvl w:val="0"/>
                <w:numId w:val="15"/>
              </w:numPr>
              <w:spacing w:after="166"/>
              <w:rPr>
                <w:sz w:val="20"/>
                <w:szCs w:val="20"/>
              </w:rPr>
            </w:pPr>
            <w:r>
              <w:rPr>
                <w:sz w:val="20"/>
                <w:szCs w:val="20"/>
              </w:rPr>
              <w:t>Preparation in</w:t>
            </w:r>
            <w:r w:rsidR="00E42036">
              <w:rPr>
                <w:sz w:val="20"/>
                <w:szCs w:val="20"/>
              </w:rPr>
              <w:t xml:space="preserve"> conjunction with </w:t>
            </w:r>
            <w:r w:rsidR="00136482">
              <w:rPr>
                <w:sz w:val="20"/>
                <w:szCs w:val="20"/>
              </w:rPr>
              <w:t xml:space="preserve">Etheridge Shire Council </w:t>
            </w:r>
            <w:r w:rsidR="00E42036">
              <w:rPr>
                <w:sz w:val="20"/>
                <w:szCs w:val="20"/>
              </w:rPr>
              <w:t xml:space="preserve">Procurement Department of tender documentation and associated contracts to engage suitably qualified contractors to undertake reconstruction </w:t>
            </w:r>
            <w:proofErr w:type="gramStart"/>
            <w:r w:rsidR="00E42036">
              <w:rPr>
                <w:sz w:val="20"/>
                <w:szCs w:val="20"/>
              </w:rPr>
              <w:t>activities;</w:t>
            </w:r>
            <w:proofErr w:type="gramEnd"/>
            <w:r w:rsidR="00E42036">
              <w:rPr>
                <w:sz w:val="20"/>
                <w:szCs w:val="20"/>
              </w:rPr>
              <w:t xml:space="preserve"> </w:t>
            </w:r>
          </w:p>
          <w:p w14:paraId="139F5155" w14:textId="6974D1C7" w:rsidR="00E42036" w:rsidRDefault="00E42036" w:rsidP="00FF0D77">
            <w:pPr>
              <w:pStyle w:val="Default"/>
              <w:numPr>
                <w:ilvl w:val="0"/>
                <w:numId w:val="15"/>
              </w:numPr>
              <w:spacing w:after="166"/>
              <w:rPr>
                <w:sz w:val="20"/>
                <w:szCs w:val="20"/>
              </w:rPr>
            </w:pPr>
            <w:r>
              <w:rPr>
                <w:sz w:val="20"/>
                <w:szCs w:val="20"/>
              </w:rPr>
              <w:lastRenderedPageBreak/>
              <w:t xml:space="preserve">Maintaining the variations register on scope adjustments and contractual </w:t>
            </w:r>
            <w:proofErr w:type="gramStart"/>
            <w:r>
              <w:rPr>
                <w:sz w:val="20"/>
                <w:szCs w:val="20"/>
              </w:rPr>
              <w:t>variations;</w:t>
            </w:r>
            <w:proofErr w:type="gramEnd"/>
            <w:r>
              <w:rPr>
                <w:sz w:val="20"/>
                <w:szCs w:val="20"/>
              </w:rPr>
              <w:t xml:space="preserve"> </w:t>
            </w:r>
          </w:p>
          <w:p w14:paraId="61FFDF14" w14:textId="157AD313" w:rsidR="00E42036" w:rsidRDefault="00E42036" w:rsidP="00FF0D77">
            <w:pPr>
              <w:pStyle w:val="Default"/>
              <w:numPr>
                <w:ilvl w:val="0"/>
                <w:numId w:val="15"/>
              </w:numPr>
              <w:spacing w:after="166"/>
              <w:rPr>
                <w:sz w:val="20"/>
                <w:szCs w:val="20"/>
              </w:rPr>
            </w:pPr>
            <w:r>
              <w:rPr>
                <w:sz w:val="20"/>
                <w:szCs w:val="20"/>
              </w:rPr>
              <w:t xml:space="preserve">Carry out construction supervision services to ensure scope and quality outcomes are achieved, including sign off of inspection and test plans and other quality checks as required by the relevant construction </w:t>
            </w:r>
            <w:proofErr w:type="gramStart"/>
            <w:r>
              <w:rPr>
                <w:sz w:val="20"/>
                <w:szCs w:val="20"/>
              </w:rPr>
              <w:t>contract;</w:t>
            </w:r>
            <w:proofErr w:type="gramEnd"/>
            <w:r>
              <w:rPr>
                <w:sz w:val="20"/>
                <w:szCs w:val="20"/>
              </w:rPr>
              <w:t xml:space="preserve"> </w:t>
            </w:r>
          </w:p>
          <w:p w14:paraId="301DF1C3" w14:textId="0D2E2EF3" w:rsidR="00E42036" w:rsidRDefault="00E42036" w:rsidP="00FF0D77">
            <w:pPr>
              <w:pStyle w:val="OLSchedule3"/>
              <w:numPr>
                <w:ilvl w:val="0"/>
                <w:numId w:val="15"/>
              </w:numPr>
            </w:pPr>
            <w:r>
              <w:t xml:space="preserve">Program management performance reporting including budget forecasting, program progress, </w:t>
            </w:r>
            <w:r w:rsidR="00FF0D77">
              <w:t>risks, issues</w:t>
            </w:r>
            <w:r>
              <w:t xml:space="preserve">, and any other relevant information to assist the </w:t>
            </w:r>
            <w:proofErr w:type="gramStart"/>
            <w:r>
              <w:t>Principal</w:t>
            </w:r>
            <w:proofErr w:type="gramEnd"/>
            <w:r>
              <w:t xml:space="preserve"> with decision making; </w:t>
            </w:r>
          </w:p>
          <w:p w14:paraId="07D0841C" w14:textId="68EA764B" w:rsidR="00E42036" w:rsidRDefault="00E42036" w:rsidP="00FF0D77">
            <w:pPr>
              <w:pStyle w:val="Default"/>
              <w:numPr>
                <w:ilvl w:val="0"/>
                <w:numId w:val="15"/>
              </w:numPr>
              <w:spacing w:after="166"/>
              <w:rPr>
                <w:sz w:val="20"/>
                <w:szCs w:val="20"/>
              </w:rPr>
            </w:pPr>
            <w:r>
              <w:rPr>
                <w:sz w:val="20"/>
                <w:szCs w:val="20"/>
              </w:rPr>
              <w:t xml:space="preserve">Ensure all DRFA activities are correctly booked to relevant cost codes to ensure the efficiency and accuracy of cost capture and reporting from the financial </w:t>
            </w:r>
            <w:r w:rsidR="001E3675">
              <w:rPr>
                <w:sz w:val="20"/>
                <w:szCs w:val="20"/>
              </w:rPr>
              <w:t>system.</w:t>
            </w:r>
            <w:r>
              <w:rPr>
                <w:sz w:val="20"/>
                <w:szCs w:val="20"/>
              </w:rPr>
              <w:t xml:space="preserve"> </w:t>
            </w:r>
          </w:p>
          <w:p w14:paraId="6568D779" w14:textId="2CD776BF" w:rsidR="00E42036" w:rsidRDefault="00E42036" w:rsidP="00FF0D77">
            <w:pPr>
              <w:pStyle w:val="Default"/>
              <w:numPr>
                <w:ilvl w:val="0"/>
                <w:numId w:val="15"/>
              </w:numPr>
              <w:rPr>
                <w:sz w:val="20"/>
                <w:szCs w:val="20"/>
              </w:rPr>
            </w:pPr>
            <w:r>
              <w:rPr>
                <w:sz w:val="20"/>
                <w:szCs w:val="20"/>
              </w:rPr>
              <w:t xml:space="preserve">Provide advice to the </w:t>
            </w:r>
            <w:r w:rsidR="001E3675">
              <w:rPr>
                <w:sz w:val="20"/>
                <w:szCs w:val="20"/>
              </w:rPr>
              <w:t>principal</w:t>
            </w:r>
            <w:r>
              <w:rPr>
                <w:sz w:val="20"/>
                <w:szCs w:val="20"/>
              </w:rPr>
              <w:t xml:space="preserve"> on the risk profile and exposure of the program of works </w:t>
            </w:r>
            <w:proofErr w:type="gramStart"/>
            <w:r>
              <w:rPr>
                <w:sz w:val="20"/>
                <w:szCs w:val="20"/>
              </w:rPr>
              <w:t>that forms</w:t>
            </w:r>
            <w:proofErr w:type="gramEnd"/>
            <w:r>
              <w:rPr>
                <w:sz w:val="20"/>
                <w:szCs w:val="20"/>
              </w:rPr>
              <w:t xml:space="preserve"> part of the submission made to the QRA via the MARS-Portal; </w:t>
            </w:r>
          </w:p>
          <w:p w14:paraId="00B6FF62" w14:textId="11BB4A39" w:rsidR="00E42036" w:rsidRDefault="00E42036" w:rsidP="00FF0D77">
            <w:pPr>
              <w:pStyle w:val="Default"/>
              <w:numPr>
                <w:ilvl w:val="0"/>
                <w:numId w:val="15"/>
              </w:numPr>
              <w:spacing w:after="168"/>
              <w:rPr>
                <w:sz w:val="20"/>
                <w:szCs w:val="20"/>
              </w:rPr>
            </w:pPr>
            <w:r>
              <w:rPr>
                <w:sz w:val="20"/>
                <w:szCs w:val="20"/>
              </w:rPr>
              <w:t xml:space="preserve">Ensure contractors and other persons engaged to carry out work are carrying out that work in compliance with all applicable laws, including WHS legislation and codes of practice relating to WHS and environmental </w:t>
            </w:r>
            <w:proofErr w:type="gramStart"/>
            <w:r>
              <w:rPr>
                <w:sz w:val="20"/>
                <w:szCs w:val="20"/>
              </w:rPr>
              <w:t>legislation;</w:t>
            </w:r>
            <w:proofErr w:type="gramEnd"/>
            <w:r>
              <w:rPr>
                <w:sz w:val="20"/>
                <w:szCs w:val="20"/>
              </w:rPr>
              <w:t xml:space="preserve"> </w:t>
            </w:r>
          </w:p>
          <w:p w14:paraId="077015F8" w14:textId="0E7D4465" w:rsidR="00E42036" w:rsidRDefault="00E42036" w:rsidP="00FF0D77">
            <w:pPr>
              <w:pStyle w:val="Default"/>
              <w:numPr>
                <w:ilvl w:val="0"/>
                <w:numId w:val="15"/>
              </w:numPr>
              <w:spacing w:after="168"/>
              <w:rPr>
                <w:sz w:val="20"/>
                <w:szCs w:val="20"/>
              </w:rPr>
            </w:pPr>
            <w:r>
              <w:rPr>
                <w:sz w:val="20"/>
                <w:szCs w:val="20"/>
              </w:rPr>
              <w:t xml:space="preserve">Work collaboratively and proactively with other state government departments, public utility authorities and adjacent </w:t>
            </w:r>
            <w:r w:rsidR="001E3675">
              <w:rPr>
                <w:sz w:val="20"/>
                <w:szCs w:val="20"/>
              </w:rPr>
              <w:t>landowners.</w:t>
            </w:r>
            <w:r>
              <w:rPr>
                <w:sz w:val="20"/>
                <w:szCs w:val="20"/>
              </w:rPr>
              <w:t xml:space="preserve"> </w:t>
            </w:r>
          </w:p>
          <w:p w14:paraId="72077A84" w14:textId="063428FD" w:rsidR="00E42036" w:rsidRDefault="00E42036" w:rsidP="00FF0D77">
            <w:pPr>
              <w:pStyle w:val="Default"/>
              <w:numPr>
                <w:ilvl w:val="0"/>
                <w:numId w:val="15"/>
              </w:numPr>
              <w:rPr>
                <w:sz w:val="20"/>
                <w:szCs w:val="20"/>
              </w:rPr>
            </w:pPr>
            <w:r>
              <w:rPr>
                <w:sz w:val="20"/>
                <w:szCs w:val="20"/>
              </w:rPr>
              <w:t xml:space="preserve">Provide the Principal with all necessary information, support and assistance to enable the </w:t>
            </w:r>
            <w:proofErr w:type="gramStart"/>
            <w:r>
              <w:rPr>
                <w:sz w:val="20"/>
                <w:szCs w:val="20"/>
              </w:rPr>
              <w:t>Principal</w:t>
            </w:r>
            <w:proofErr w:type="gramEnd"/>
            <w:r>
              <w:rPr>
                <w:sz w:val="20"/>
                <w:szCs w:val="20"/>
              </w:rPr>
              <w:t xml:space="preserve"> to carry out the acquittal process under the Queensland Disaster Funding Guidelines. </w:t>
            </w:r>
          </w:p>
          <w:p w14:paraId="7C076813" w14:textId="5FBAEE0B" w:rsidR="00983647" w:rsidRPr="00796C17" w:rsidRDefault="00983647" w:rsidP="0095586B">
            <w:pPr>
              <w:pStyle w:val="OLTableText"/>
              <w:rPr>
                <w:noProof/>
              </w:rPr>
            </w:pPr>
          </w:p>
        </w:tc>
      </w:tr>
      <w:tr w:rsidR="003930BF" w:rsidRPr="00237721" w14:paraId="55BE1CBC" w14:textId="77777777" w:rsidTr="00BB1A0B">
        <w:trPr>
          <w:trHeight w:val="215"/>
        </w:trPr>
        <w:tc>
          <w:tcPr>
            <w:tcW w:w="1049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200073" w14:textId="77777777" w:rsidR="003930BF" w:rsidRPr="00796C17" w:rsidRDefault="003930BF" w:rsidP="0095586B">
            <w:pPr>
              <w:pStyle w:val="OLTableText"/>
              <w:rPr>
                <w:noProof/>
              </w:rPr>
            </w:pPr>
            <w:r w:rsidRPr="00796C17">
              <w:rPr>
                <w:b/>
              </w:rPr>
              <w:lastRenderedPageBreak/>
              <w:t>PART 6 – RESPONSE SCHEDULES</w:t>
            </w:r>
          </w:p>
        </w:tc>
      </w:tr>
      <w:tr w:rsidR="002A6EF5" w:rsidRPr="00237721" w14:paraId="7E32E571" w14:textId="77777777" w:rsidTr="002A6EF5">
        <w:trPr>
          <w:trHeight w:val="215"/>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16EA9B" w14:textId="52CD13D5" w:rsidR="002A6EF5" w:rsidRPr="002A6EF5" w:rsidRDefault="002A6EF5" w:rsidP="002A6EF5">
            <w:r w:rsidRPr="00057529">
              <w:rPr>
                <w:noProof/>
              </w:rPr>
              <w:t xml:space="preserve">The </w:t>
            </w:r>
            <w:r>
              <w:rPr>
                <w:noProof/>
              </w:rPr>
              <w:t xml:space="preserve">Tender must be submitted in the form provided in the response schedules attached to or </w:t>
            </w:r>
            <w:r w:rsidRPr="00057529">
              <w:rPr>
                <w:noProof/>
              </w:rPr>
              <w:t xml:space="preserve">provided </w:t>
            </w:r>
            <w:r>
              <w:rPr>
                <w:noProof/>
              </w:rPr>
              <w:t xml:space="preserve">with this Request for Tender  and identified as </w:t>
            </w:r>
            <w:r w:rsidR="00E26295">
              <w:rPr>
                <w:noProof/>
              </w:rPr>
              <w:t>Response</w:t>
            </w:r>
            <w:r w:rsidR="00FC24E5">
              <w:rPr>
                <w:noProof/>
              </w:rPr>
              <w:t>-</w:t>
            </w:r>
            <w:r w:rsidR="00E26295">
              <w:rPr>
                <w:noProof/>
              </w:rPr>
              <w:t>Schedule</w:t>
            </w:r>
            <w:r w:rsidR="00FC24E5">
              <w:rPr>
                <w:noProof/>
              </w:rPr>
              <w:t>-</w:t>
            </w:r>
            <w:r w:rsidR="00E26295">
              <w:rPr>
                <w:noProof/>
              </w:rPr>
              <w:t>Works.</w:t>
            </w:r>
          </w:p>
        </w:tc>
      </w:tr>
      <w:bookmarkEnd w:id="1"/>
    </w:tbl>
    <w:p w14:paraId="34CFEE14" w14:textId="77777777" w:rsidR="002A6EF5" w:rsidRDefault="002A6EF5"/>
    <w:sectPr w:rsidR="002A6EF5" w:rsidSect="00747257">
      <w:footerReference w:type="default" r:id="rId19"/>
      <w:headerReference w:type="first" r:id="rId20"/>
      <w:footerReference w:type="first" r:id="rId21"/>
      <w:pgSz w:w="11906" w:h="16838" w:code="9"/>
      <w:pgMar w:top="964" w:right="1440" w:bottom="567" w:left="709" w:header="454" w:footer="608"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 wne:kcmPrimary="045A" wne:kcmSecondary="0031">
      <wne:acd wne:acdName="acd17"/>
    </wne:keymap>
    <wne:keymap wne:kcmPrimary="045A" wne:kcmSecondary="0032">
      <wne:acd wne:acdName="acd18"/>
    </wne:keymap>
    <wne:keymap wne:kcmPrimary="045A" wne:kcmSecondary="0033">
      <wne:acd wne:acdName="acd19"/>
    </wne:keymap>
    <wne:keymap wne:kcmPrimary="0530">
      <wne:acd wne:acdName="acd10"/>
    </wne:keymap>
    <wne:keymap wne:kcmPrimary="0531">
      <wne:acd wne:acdName="acd11"/>
    </wne:keymap>
    <wne:keymap wne:kcmPrimary="0532">
      <wne:acd wne:acdName="acd12"/>
    </wne:keymap>
    <wne:keymap wne:kcmPrimary="0533">
      <wne:acd wne:acdName="acd13"/>
    </wne:keymap>
    <wne:keymap wne:kcmPrimary="0534">
      <wne:acd wne:acdName="acd14"/>
    </wne:keymap>
    <wne:keymap wne:kcmPrimary="0535">
      <wne:acd wne:acdName="acd15"/>
    </wne:keymap>
    <wne:keymap wne:kcmPrimary="0536">
      <wne:acd wne:acdName="acd1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PAEwAXwBOAHUAbQBiAGUAcgAwAA==" wne:acdName="acd0" wne:fciIndexBasedOn="0065"/>
    <wne:acd wne:argValue="AgBPAEwAXwBOAHUAbQBiAGUAcgAxAA==" wne:acdName="acd1" wne:fciIndexBasedOn="0065"/>
    <wne:acd wne:argValue="AgBPAEwAXwBOAHUAbQBiAGUAcgAyAA==" wne:acdName="acd2" wne:fciIndexBasedOn="0065"/>
    <wne:acd wne:argValue="AgBPAEwAXwBOAHUAbQBiAGUAcgAzAA==" wne:acdName="acd3" wne:fciIndexBasedOn="0065"/>
    <wne:acd wne:argValue="AgBPAEwAXwBOAHUAbQBiAGUAcgA0AA==" wne:acdName="acd4" wne:fciIndexBasedOn="0065"/>
    <wne:acd wne:argValue="AgBPAEwAXwBOAHUAbQBiAGUAcgA1AA==" wne:acdName="acd5" wne:fciIndexBasedOn="0065"/>
    <wne:acd wne:argValue="AgBPAEwAXwBOAHUAbQBiAGUAcgA2AA==" wne:acdName="acd6" wne:fciIndexBasedOn="0065"/>
    <wne:acd wne:argValue="AgBPAEwAXwBOAHUAbQBiAGUAcgA3AA==" wne:acdName="acd7" wne:fciIndexBasedOn="0065"/>
    <wne:acd wne:argValue="AgBPAEwAXwBOAHUAbQBiAGUAcgAyAE4AQgA=" wne:acdName="acd8" wne:fciIndexBasedOn="0065"/>
    <wne:acd wne:argValue="AgBPAEwAXwBOAHUAbQBiAGUAcgAzAEIA" wne:acdName="acd9" wne:fciIndexBasedOn="0065"/>
    <wne:acd wne:argValue="AgBPAEwAXwBCAG8AZAB5AFQAZQB4AHQA" wne:acdName="acd10" wne:fciIndexBasedOn="0065"/>
    <wne:acd wne:argValue="AgBPAEwAXwBJAG4AZABlAG4AdAAxAA==" wne:acdName="acd11" wne:fciIndexBasedOn="0065"/>
    <wne:acd wne:argValue="AgBPAEwAXwBJAG4AZABlAG4AdAAyAA==" wne:acdName="acd12" wne:fciIndexBasedOn="0065"/>
    <wne:acd wne:argValue="AgBPAEwAXwBJAG4AZABlAG4AdAAzAA==" wne:acdName="acd13" wne:fciIndexBasedOn="0065"/>
    <wne:acd wne:argValue="AgBPAEwAXwBJAG4AZABlAG4AdAA0AA==" wne:acdName="acd14" wne:fciIndexBasedOn="0065"/>
    <wne:acd wne:argValue="AgBPAEwAXwBJAG4AZABlAG4AdAA1AA==" wne:acdName="acd15" wne:fciIndexBasedOn="0065"/>
    <wne:acd wne:argValue="AgBPAEwAXwBJAG4AZABlAG4AdAA2AA==" wne:acdName="acd16" wne:fciIndexBasedOn="0065"/>
    <wne:acd wne:argValue="AgBPAEwAXwBCAGEAYwBrAGcAcgBvAHUAbgBkADEA" wne:acdName="acd17" wne:fciIndexBasedOn="0065"/>
    <wne:acd wne:argValue="AgBPAEwAXwBCAGEAYwBrAGcAcgBvAHUAbgBkADIA" wne:acdName="acd18" wne:fciIndexBasedOn="0065"/>
    <wne:acd wne:argValue="AgBPAEwAXwBCAGEAYwBrAGcAcgBvAHUAbgBkADM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6B201" w14:textId="77777777" w:rsidR="00A46924" w:rsidRDefault="00A46924" w:rsidP="0016075A">
      <w:r>
        <w:separator/>
      </w:r>
    </w:p>
  </w:endnote>
  <w:endnote w:type="continuationSeparator" w:id="0">
    <w:p w14:paraId="4BCC7458" w14:textId="77777777" w:rsidR="00A46924" w:rsidRDefault="00A46924" w:rsidP="0016075A">
      <w:r>
        <w:continuationSeparator/>
      </w:r>
    </w:p>
  </w:endnote>
  <w:endnote w:type="continuationNotice" w:id="1">
    <w:p w14:paraId="5507CE81" w14:textId="77777777" w:rsidR="00A46924" w:rsidRDefault="00A46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28FE" w14:textId="77777777" w:rsidR="0050577A" w:rsidRDefault="00505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9BB5" w14:textId="50A6F4E7" w:rsidR="003F76E6" w:rsidRDefault="003F76E6" w:rsidP="00F272DD">
    <w:pPr>
      <w:pStyle w:val="Footer"/>
      <w:spacing w:line="180" w:lineRule="exact"/>
      <w:ind w:firstLine="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AABBE" w14:textId="77777777" w:rsidR="0050577A" w:rsidRDefault="005057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4FA95" w14:textId="35FC7B41" w:rsidR="003F76E6" w:rsidRDefault="00747257" w:rsidP="007D5EBF">
    <w:pPr>
      <w:pStyle w:val="Footer"/>
      <w:spacing w:line="180" w:lineRule="exact"/>
      <w:jc w:val="right"/>
    </w:pPr>
    <w:r>
      <w:br/>
    </w:r>
    <w:r w:rsidR="007D5EBF">
      <w:t xml:space="preserve">Page </w:t>
    </w:r>
    <w:r w:rsidR="007D5EBF">
      <w:fldChar w:fldCharType="begin"/>
    </w:r>
    <w:r w:rsidR="007D5EBF">
      <w:instrText xml:space="preserve"> PAGE   \* MERGEFORMAT </w:instrText>
    </w:r>
    <w:r w:rsidR="007D5EBF">
      <w:fldChar w:fldCharType="separate"/>
    </w:r>
    <w:r w:rsidR="007D5EBF">
      <w:rPr>
        <w:noProof/>
      </w:rPr>
      <w:t>1</w:t>
    </w:r>
    <w:r w:rsidR="007D5EBF">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994"/>
      <w:gridCol w:w="3345"/>
      <w:gridCol w:w="3180"/>
    </w:tblGrid>
    <w:tr w:rsidR="00F272DD" w:rsidRPr="00F272DD" w14:paraId="238EF4A0" w14:textId="77777777" w:rsidTr="00BB1A0B">
      <w:tc>
        <w:tcPr>
          <w:tcW w:w="10490" w:type="dxa"/>
          <w:gridSpan w:val="4"/>
          <w:tcBorders>
            <w:top w:val="single" w:sz="4" w:space="0" w:color="auto"/>
          </w:tcBorders>
        </w:tcPr>
        <w:p w14:paraId="502E841C" w14:textId="3A6566C6" w:rsidR="00F272DD" w:rsidRPr="00D6168A" w:rsidRDefault="00F272DD" w:rsidP="00F272DD">
          <w:pPr>
            <w:pStyle w:val="Footer"/>
            <w:tabs>
              <w:tab w:val="clear" w:pos="4513"/>
            </w:tabs>
            <w:contextualSpacing/>
            <w:rPr>
              <w:color w:val="808080" w:themeColor="background1" w:themeShade="80"/>
              <w:sz w:val="2"/>
              <w:szCs w:val="2"/>
            </w:rPr>
          </w:pPr>
        </w:p>
      </w:tc>
    </w:tr>
    <w:tr w:rsidR="00F272DD" w:rsidRPr="00F272DD" w14:paraId="7123F4D6" w14:textId="77777777" w:rsidTr="00505905">
      <w:tc>
        <w:tcPr>
          <w:tcW w:w="6237" w:type="dxa"/>
          <w:gridSpan w:val="3"/>
        </w:tcPr>
        <w:p w14:paraId="3E4B586B" w14:textId="62D72F3D" w:rsidR="00F272DD" w:rsidRPr="00F272DD" w:rsidRDefault="00F272DD" w:rsidP="00F272DD">
          <w:pPr>
            <w:pStyle w:val="Footer"/>
            <w:tabs>
              <w:tab w:val="clear" w:pos="4513"/>
            </w:tabs>
            <w:contextualSpacing/>
            <w:rPr>
              <w:sz w:val="16"/>
              <w:szCs w:val="16"/>
            </w:rPr>
          </w:pPr>
          <w:r w:rsidRPr="00F272DD">
            <w:rPr>
              <w:color w:val="808080" w:themeColor="background1" w:themeShade="80"/>
              <w:sz w:val="16"/>
              <w:szCs w:val="16"/>
            </w:rPr>
            <w:t>Request for Tender</w:t>
          </w:r>
          <w:r w:rsidR="00505905">
            <w:rPr>
              <w:color w:val="808080" w:themeColor="background1" w:themeShade="80"/>
              <w:sz w:val="16"/>
              <w:szCs w:val="16"/>
            </w:rPr>
            <w:t xml:space="preserve"> </w:t>
          </w:r>
          <w:r w:rsidR="0050577A">
            <w:rPr>
              <w:color w:val="808080" w:themeColor="background1" w:themeShade="80"/>
              <w:sz w:val="16"/>
              <w:szCs w:val="16"/>
            </w:rPr>
            <w:t>(</w:t>
          </w:r>
          <w:r w:rsidR="00505905">
            <w:rPr>
              <w:color w:val="808080" w:themeColor="background1" w:themeShade="80"/>
              <w:sz w:val="16"/>
              <w:szCs w:val="16"/>
            </w:rPr>
            <w:t>Generic</w:t>
          </w:r>
          <w:r w:rsidR="0050577A">
            <w:rPr>
              <w:color w:val="808080" w:themeColor="background1" w:themeShade="80"/>
              <w:sz w:val="16"/>
              <w:szCs w:val="16"/>
            </w:rPr>
            <w:t>)</w:t>
          </w:r>
          <w:r w:rsidRPr="00F272DD">
            <w:rPr>
              <w:color w:val="808080" w:themeColor="background1" w:themeShade="80"/>
              <w:sz w:val="16"/>
              <w:szCs w:val="16"/>
            </w:rPr>
            <w:tab/>
          </w:r>
        </w:p>
      </w:tc>
      <w:tc>
        <w:tcPr>
          <w:tcW w:w="4253" w:type="dxa"/>
        </w:tcPr>
        <w:p w14:paraId="6B8BE6D9" w14:textId="77777777" w:rsidR="00F272DD" w:rsidRPr="00F272DD" w:rsidRDefault="00F272DD" w:rsidP="00F272DD">
          <w:pPr>
            <w:pStyle w:val="Footer"/>
            <w:contextualSpacing/>
            <w:jc w:val="right"/>
            <w:rPr>
              <w:sz w:val="16"/>
              <w:szCs w:val="16"/>
            </w:rPr>
          </w:pPr>
        </w:p>
      </w:tc>
    </w:tr>
    <w:tr w:rsidR="00F272DD" w:rsidRPr="00F272DD" w14:paraId="260C40EF" w14:textId="77777777" w:rsidTr="00326FA1">
      <w:tc>
        <w:tcPr>
          <w:tcW w:w="1276" w:type="dxa"/>
        </w:tcPr>
        <w:p w14:paraId="0B74A610" w14:textId="77777777" w:rsidR="00F272DD" w:rsidRPr="003B4104" w:rsidRDefault="00F272DD" w:rsidP="00F272DD">
          <w:pPr>
            <w:pStyle w:val="Footer"/>
            <w:tabs>
              <w:tab w:val="clear" w:pos="4513"/>
            </w:tabs>
            <w:contextualSpacing/>
            <w:rPr>
              <w:color w:val="808080" w:themeColor="background1" w:themeShade="80"/>
              <w:sz w:val="16"/>
              <w:szCs w:val="16"/>
            </w:rPr>
          </w:pPr>
          <w:r w:rsidRPr="003B4104">
            <w:rPr>
              <w:color w:val="808080" w:themeColor="background1" w:themeShade="80"/>
              <w:sz w:val="16"/>
              <w:szCs w:val="16"/>
            </w:rPr>
            <w:t>Issue:</w:t>
          </w:r>
        </w:p>
      </w:tc>
      <w:tc>
        <w:tcPr>
          <w:tcW w:w="9214" w:type="dxa"/>
          <w:gridSpan w:val="3"/>
        </w:tcPr>
        <w:p w14:paraId="15137215" w14:textId="0D8DDFDA" w:rsidR="00867AFF" w:rsidRPr="003B4104" w:rsidRDefault="00505905" w:rsidP="00326FA1">
          <w:pPr>
            <w:pStyle w:val="Footer"/>
            <w:tabs>
              <w:tab w:val="clear" w:pos="4513"/>
            </w:tabs>
            <w:contextualSpacing/>
            <w:rPr>
              <w:color w:val="808080" w:themeColor="background1" w:themeShade="80"/>
              <w:sz w:val="16"/>
              <w:szCs w:val="16"/>
            </w:rPr>
          </w:pPr>
          <w:r>
            <w:rPr>
              <w:color w:val="808080" w:themeColor="background1" w:themeShade="80"/>
              <w:sz w:val="16"/>
              <w:szCs w:val="16"/>
            </w:rPr>
            <w:t>LGT</w:t>
          </w:r>
          <w:r w:rsidR="004821D0">
            <w:rPr>
              <w:color w:val="808080" w:themeColor="background1" w:themeShade="80"/>
              <w:sz w:val="16"/>
              <w:szCs w:val="16"/>
            </w:rPr>
            <w:t>2</w:t>
          </w:r>
          <w:r>
            <w:rPr>
              <w:color w:val="808080" w:themeColor="background1" w:themeShade="80"/>
              <w:sz w:val="16"/>
              <w:szCs w:val="16"/>
            </w:rPr>
            <w:t>.0</w:t>
          </w:r>
        </w:p>
      </w:tc>
    </w:tr>
    <w:tr w:rsidR="00505905" w:rsidRPr="00F272DD" w14:paraId="57FE8F0A" w14:textId="77777777" w:rsidTr="00326FA1">
      <w:trPr>
        <w:trHeight w:val="140"/>
      </w:trPr>
      <w:tc>
        <w:tcPr>
          <w:tcW w:w="1276" w:type="dxa"/>
        </w:tcPr>
        <w:p w14:paraId="3F23D83B" w14:textId="77777777" w:rsidR="00F272DD" w:rsidRPr="00F272DD" w:rsidRDefault="00F272DD" w:rsidP="00F272DD">
          <w:pPr>
            <w:pStyle w:val="Footer"/>
            <w:tabs>
              <w:tab w:val="clear" w:pos="4513"/>
            </w:tabs>
            <w:contextualSpacing/>
            <w:rPr>
              <w:color w:val="808080" w:themeColor="background1" w:themeShade="80"/>
              <w:sz w:val="16"/>
              <w:szCs w:val="16"/>
            </w:rPr>
          </w:pPr>
          <w:r w:rsidRPr="00F272DD">
            <w:rPr>
              <w:color w:val="808080" w:themeColor="background1" w:themeShade="80"/>
              <w:sz w:val="16"/>
              <w:szCs w:val="16"/>
            </w:rPr>
            <w:t>Effective Date:</w:t>
          </w:r>
        </w:p>
      </w:tc>
      <w:tc>
        <w:tcPr>
          <w:tcW w:w="1559" w:type="dxa"/>
        </w:tcPr>
        <w:p w14:paraId="5D2B2D3E" w14:textId="4579A3EE" w:rsidR="00F272DD" w:rsidRPr="00F272DD" w:rsidRDefault="004821D0" w:rsidP="00F272DD">
          <w:pPr>
            <w:pStyle w:val="Footer"/>
            <w:tabs>
              <w:tab w:val="clear" w:pos="4513"/>
            </w:tabs>
            <w:contextualSpacing/>
            <w:rPr>
              <w:color w:val="808080" w:themeColor="background1" w:themeShade="80"/>
              <w:sz w:val="16"/>
              <w:szCs w:val="16"/>
            </w:rPr>
          </w:pPr>
          <w:r>
            <w:rPr>
              <w:color w:val="808080" w:themeColor="background1" w:themeShade="80"/>
              <w:sz w:val="16"/>
              <w:szCs w:val="16"/>
            </w:rPr>
            <w:t>July 2023</w:t>
          </w:r>
        </w:p>
      </w:tc>
      <w:tc>
        <w:tcPr>
          <w:tcW w:w="7655" w:type="dxa"/>
          <w:gridSpan w:val="2"/>
        </w:tcPr>
        <w:sdt>
          <w:sdtPr>
            <w:rPr>
              <w:sz w:val="16"/>
              <w:szCs w:val="16"/>
            </w:rPr>
            <w:id w:val="-1687745122"/>
            <w:docPartObj>
              <w:docPartGallery w:val="Page Numbers (Bottom of Page)"/>
              <w:docPartUnique/>
            </w:docPartObj>
          </w:sdtPr>
          <w:sdtEndPr/>
          <w:sdtContent>
            <w:p w14:paraId="5C738D3F" w14:textId="77777777" w:rsidR="00F272DD" w:rsidRPr="00F272DD" w:rsidRDefault="00F272DD" w:rsidP="00F272DD">
              <w:pPr>
                <w:pStyle w:val="Footer"/>
                <w:contextualSpacing/>
                <w:jc w:val="right"/>
                <w:rPr>
                  <w:rFonts w:asciiTheme="minorHAnsi" w:hAnsiTheme="minorHAnsi"/>
                  <w:sz w:val="16"/>
                  <w:szCs w:val="16"/>
                </w:rPr>
              </w:pPr>
              <w:r w:rsidRPr="00F272DD">
                <w:rPr>
                  <w:sz w:val="16"/>
                  <w:szCs w:val="16"/>
                </w:rPr>
                <w:t xml:space="preserve">Page | </w:t>
              </w:r>
              <w:r w:rsidRPr="00F272DD">
                <w:rPr>
                  <w:sz w:val="16"/>
                  <w:szCs w:val="16"/>
                </w:rPr>
                <w:fldChar w:fldCharType="begin"/>
              </w:r>
              <w:r w:rsidRPr="00F272DD">
                <w:rPr>
                  <w:sz w:val="16"/>
                  <w:szCs w:val="16"/>
                </w:rPr>
                <w:instrText xml:space="preserve"> PAGE   \* MERGEFORMAT </w:instrText>
              </w:r>
              <w:r w:rsidRPr="00F272DD">
                <w:rPr>
                  <w:sz w:val="16"/>
                  <w:szCs w:val="16"/>
                </w:rPr>
                <w:fldChar w:fldCharType="separate"/>
              </w:r>
              <w:r w:rsidRPr="00F272DD">
                <w:rPr>
                  <w:sz w:val="16"/>
                  <w:szCs w:val="16"/>
                </w:rPr>
                <w:t>i</w:t>
              </w:r>
              <w:r w:rsidRPr="00F272DD">
                <w:rPr>
                  <w:noProof/>
                  <w:sz w:val="16"/>
                  <w:szCs w:val="16"/>
                </w:rPr>
                <w:fldChar w:fldCharType="end"/>
              </w:r>
              <w:r w:rsidRPr="00F272DD">
                <w:rPr>
                  <w:sz w:val="16"/>
                  <w:szCs w:val="16"/>
                </w:rPr>
                <w:t xml:space="preserve"> </w:t>
              </w:r>
            </w:p>
          </w:sdtContent>
        </w:sdt>
      </w:tc>
    </w:tr>
  </w:tbl>
  <w:p w14:paraId="5BC254B6" w14:textId="77777777" w:rsidR="00F272DD" w:rsidRPr="003930BF" w:rsidRDefault="00F272D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26820" w14:textId="77777777" w:rsidR="00A46924" w:rsidRDefault="00A46924" w:rsidP="0016075A">
      <w:r>
        <w:separator/>
      </w:r>
    </w:p>
  </w:footnote>
  <w:footnote w:type="continuationSeparator" w:id="0">
    <w:p w14:paraId="06142407" w14:textId="77777777" w:rsidR="00A46924" w:rsidRDefault="00A46924" w:rsidP="0016075A">
      <w:r>
        <w:continuationSeparator/>
      </w:r>
    </w:p>
  </w:footnote>
  <w:footnote w:type="continuationNotice" w:id="1">
    <w:p w14:paraId="7B6364CD" w14:textId="77777777" w:rsidR="00A46924" w:rsidRDefault="00A469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F5A0E" w14:textId="77777777" w:rsidR="0050577A" w:rsidRDefault="005057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F8A47" w14:textId="7BB227E0" w:rsidR="00BB1A0B" w:rsidRPr="001B0510" w:rsidRDefault="00BB1A0B" w:rsidP="002B194F">
    <w:pPr>
      <w:pStyle w:val="Header"/>
      <w:tabs>
        <w:tab w:val="center" w:pos="4322"/>
      </w:tabs>
      <w:ind w:left="142" w:right="-428"/>
      <w:rPr>
        <w:sz w:val="24"/>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7D85" w14:textId="77777777" w:rsidR="0050577A" w:rsidRDefault="005057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C227C" w14:textId="279C4B43" w:rsidR="00BB1A0B" w:rsidRPr="003930BF" w:rsidRDefault="00BB1A0B" w:rsidP="0095586B">
    <w:pPr>
      <w:pStyle w:val="OLFormTop"/>
    </w:pPr>
    <w:r w:rsidRPr="00555760">
      <w:t xml:space="preserve">Request for </w:t>
    </w:r>
    <w:r w:rsidR="001343EB">
      <w:t>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9B2"/>
    <w:multiLevelType w:val="multilevel"/>
    <w:tmpl w:val="0409001D"/>
    <w:name w:val="LD_Standard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9B923ED"/>
    <w:multiLevelType w:val="multilevel"/>
    <w:tmpl w:val="14520DFA"/>
    <w:lvl w:ilvl="0">
      <w:start w:val="1"/>
      <w:numFmt w:val="none"/>
      <w:lvlText w:val=""/>
      <w:lvlJc w:val="left"/>
      <w:pPr>
        <w:tabs>
          <w:tab w:val="num" w:pos="0"/>
        </w:tabs>
        <w:ind w:left="0" w:firstLine="0"/>
      </w:pPr>
      <w:rPr>
        <w:rFonts w:hint="default"/>
      </w:rPr>
    </w:lvl>
    <w:lvl w:ilvl="1">
      <w:start w:val="1"/>
      <w:numFmt w:val="decimal"/>
      <w:lvlText w:val="%2."/>
      <w:lvlJc w:val="left"/>
      <w:pPr>
        <w:tabs>
          <w:tab w:val="num" w:pos="709"/>
        </w:tabs>
        <w:ind w:left="709" w:hanging="709"/>
      </w:pPr>
      <w:rPr>
        <w:rFonts w:hint="default"/>
        <w:b w:val="0"/>
        <w:sz w:val="18"/>
        <w:szCs w:val="18"/>
      </w:rPr>
    </w:lvl>
    <w:lvl w:ilvl="2">
      <w:start w:val="1"/>
      <w:numFmt w:val="decimal"/>
      <w:lvlText w:val="%2.%3"/>
      <w:lvlJc w:val="left"/>
      <w:pPr>
        <w:tabs>
          <w:tab w:val="num" w:pos="709"/>
        </w:tabs>
        <w:ind w:left="709" w:hanging="709"/>
      </w:pPr>
      <w:rPr>
        <w:rFonts w:hint="default"/>
        <w:sz w:val="20"/>
      </w:rPr>
    </w:lvl>
    <w:lvl w:ilvl="3">
      <w:start w:val="1"/>
      <w:numFmt w:val="lowerLetter"/>
      <w:lvlText w:val="(%4)"/>
      <w:lvlJc w:val="left"/>
      <w:pPr>
        <w:tabs>
          <w:tab w:val="num" w:pos="1418"/>
        </w:tabs>
        <w:ind w:left="1418" w:hanging="709"/>
      </w:pPr>
      <w:rPr>
        <w:rFonts w:ascii="Arial" w:hAnsi="Arial" w:cs="Arial" w:hint="default"/>
      </w:rPr>
    </w:lvl>
    <w:lvl w:ilvl="4">
      <w:start w:val="1"/>
      <w:numFmt w:val="lowerRoman"/>
      <w:lvlText w:val="(%5)"/>
      <w:lvlJc w:val="left"/>
      <w:pPr>
        <w:tabs>
          <w:tab w:val="num" w:pos="2126"/>
        </w:tabs>
        <w:ind w:left="2126" w:hanging="708"/>
      </w:pPr>
      <w:rPr>
        <w:rFonts w:hint="default"/>
      </w:rPr>
    </w:lvl>
    <w:lvl w:ilvl="5">
      <w:start w:val="1"/>
      <w:numFmt w:val="upperLetter"/>
      <w:lvlText w:val="%6."/>
      <w:lvlJc w:val="left"/>
      <w:pPr>
        <w:tabs>
          <w:tab w:val="num" w:pos="2835"/>
        </w:tabs>
        <w:ind w:left="2835" w:hanging="709"/>
      </w:pPr>
      <w:rPr>
        <w:rFonts w:hint="default"/>
      </w:rPr>
    </w:lvl>
    <w:lvl w:ilvl="6">
      <w:start w:val="1"/>
      <w:numFmt w:val="upperRoman"/>
      <w:pStyle w:val="OLNumber6"/>
      <w:lvlText w:val="%7."/>
      <w:lvlJc w:val="left"/>
      <w:pPr>
        <w:tabs>
          <w:tab w:val="num" w:pos="3544"/>
        </w:tabs>
        <w:ind w:left="3544" w:hanging="709"/>
      </w:pPr>
      <w:rPr>
        <w:rFonts w:hint="default"/>
      </w:rPr>
    </w:lvl>
    <w:lvl w:ilvl="7">
      <w:start w:val="1"/>
      <w:numFmt w:val="decimal"/>
      <w:pStyle w:val="OLNumber7"/>
      <w:lvlText w:val="(%8)"/>
      <w:lvlJc w:val="left"/>
      <w:pPr>
        <w:tabs>
          <w:tab w:val="num" w:pos="4253"/>
        </w:tabs>
        <w:ind w:left="4253" w:hanging="709"/>
      </w:pPr>
      <w:rPr>
        <w:rFonts w:hint="default"/>
      </w:rPr>
    </w:lvl>
    <w:lvl w:ilvl="8">
      <w:start w:val="1"/>
      <w:numFmt w:val="none"/>
      <w:lvlText w:val="%9"/>
      <w:lvlJc w:val="left"/>
      <w:pPr>
        <w:tabs>
          <w:tab w:val="num" w:pos="0"/>
        </w:tabs>
        <w:ind w:left="0" w:firstLine="0"/>
      </w:pPr>
      <w:rPr>
        <w:rFonts w:hint="default"/>
      </w:rPr>
    </w:lvl>
  </w:abstractNum>
  <w:abstractNum w:abstractNumId="2" w15:restartNumberingAfterBreak="0">
    <w:nsid w:val="1C940EF3"/>
    <w:multiLevelType w:val="hybridMultilevel"/>
    <w:tmpl w:val="3056C7E0"/>
    <w:lvl w:ilvl="0" w:tplc="E89083BC">
      <w:start w:val="1"/>
      <w:numFmt w:val="bullet"/>
      <w:pStyle w:val="OLBullet4"/>
      <w:lvlText w:val=""/>
      <w:lvlJc w:val="left"/>
      <w:pPr>
        <w:tabs>
          <w:tab w:val="num" w:pos="3544"/>
        </w:tabs>
        <w:ind w:left="3544"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975350"/>
    <w:multiLevelType w:val="hybridMultilevel"/>
    <w:tmpl w:val="03E490F8"/>
    <w:lvl w:ilvl="0" w:tplc="108E682A">
      <w:start w:val="1"/>
      <w:numFmt w:val="decimal"/>
      <w:pStyle w:val="OLListPara"/>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3B017B8"/>
    <w:multiLevelType w:val="hybridMultilevel"/>
    <w:tmpl w:val="98E28C32"/>
    <w:lvl w:ilvl="0" w:tplc="E40C4DB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50238B3"/>
    <w:multiLevelType w:val="hybridMultilevel"/>
    <w:tmpl w:val="CE2CECB6"/>
    <w:lvl w:ilvl="0" w:tplc="0C090005">
      <w:start w:val="1"/>
      <w:numFmt w:val="bullet"/>
      <w:pStyle w:val="OLBullet2"/>
      <w:lvlText w:val=""/>
      <w:lvlJc w:val="left"/>
      <w:pPr>
        <w:tabs>
          <w:tab w:val="num" w:pos="2126"/>
        </w:tabs>
        <w:ind w:left="2126" w:hanging="708"/>
      </w:pPr>
      <w:rPr>
        <w:rFonts w:ascii="Wingdings" w:hAnsi="Wingdings" w:cs="Wingdings" w:hint="default"/>
      </w:rPr>
    </w:lvl>
    <w:lvl w:ilvl="1" w:tplc="04090003" w:tentative="1">
      <w:start w:val="1"/>
      <w:numFmt w:val="bullet"/>
      <w:lvlText w:val="o"/>
      <w:lvlJc w:val="left"/>
      <w:pPr>
        <w:tabs>
          <w:tab w:val="num" w:pos="3567"/>
        </w:tabs>
        <w:ind w:left="3567" w:hanging="360"/>
      </w:pPr>
      <w:rPr>
        <w:rFonts w:ascii="Courier New" w:hAnsi="Courier New" w:hint="default"/>
      </w:rPr>
    </w:lvl>
    <w:lvl w:ilvl="2" w:tplc="04090005" w:tentative="1">
      <w:start w:val="1"/>
      <w:numFmt w:val="bullet"/>
      <w:lvlText w:val=""/>
      <w:lvlJc w:val="left"/>
      <w:pPr>
        <w:tabs>
          <w:tab w:val="num" w:pos="4287"/>
        </w:tabs>
        <w:ind w:left="4287" w:hanging="360"/>
      </w:pPr>
      <w:rPr>
        <w:rFonts w:ascii="Wingdings" w:hAnsi="Wingdings" w:hint="default"/>
      </w:rPr>
    </w:lvl>
    <w:lvl w:ilvl="3" w:tplc="04090001" w:tentative="1">
      <w:start w:val="1"/>
      <w:numFmt w:val="bullet"/>
      <w:lvlText w:val=""/>
      <w:lvlJc w:val="left"/>
      <w:pPr>
        <w:tabs>
          <w:tab w:val="num" w:pos="5007"/>
        </w:tabs>
        <w:ind w:left="5007" w:hanging="360"/>
      </w:pPr>
      <w:rPr>
        <w:rFonts w:ascii="Symbol" w:hAnsi="Symbol" w:hint="default"/>
      </w:rPr>
    </w:lvl>
    <w:lvl w:ilvl="4" w:tplc="04090003" w:tentative="1">
      <w:start w:val="1"/>
      <w:numFmt w:val="bullet"/>
      <w:lvlText w:val="o"/>
      <w:lvlJc w:val="left"/>
      <w:pPr>
        <w:tabs>
          <w:tab w:val="num" w:pos="5727"/>
        </w:tabs>
        <w:ind w:left="5727" w:hanging="360"/>
      </w:pPr>
      <w:rPr>
        <w:rFonts w:ascii="Courier New" w:hAnsi="Courier New" w:hint="default"/>
      </w:rPr>
    </w:lvl>
    <w:lvl w:ilvl="5" w:tplc="04090005" w:tentative="1">
      <w:start w:val="1"/>
      <w:numFmt w:val="bullet"/>
      <w:lvlText w:val=""/>
      <w:lvlJc w:val="left"/>
      <w:pPr>
        <w:tabs>
          <w:tab w:val="num" w:pos="6447"/>
        </w:tabs>
        <w:ind w:left="6447" w:hanging="360"/>
      </w:pPr>
      <w:rPr>
        <w:rFonts w:ascii="Wingdings" w:hAnsi="Wingdings" w:hint="default"/>
      </w:rPr>
    </w:lvl>
    <w:lvl w:ilvl="6" w:tplc="04090001" w:tentative="1">
      <w:start w:val="1"/>
      <w:numFmt w:val="bullet"/>
      <w:lvlText w:val=""/>
      <w:lvlJc w:val="left"/>
      <w:pPr>
        <w:tabs>
          <w:tab w:val="num" w:pos="7167"/>
        </w:tabs>
        <w:ind w:left="7167" w:hanging="360"/>
      </w:pPr>
      <w:rPr>
        <w:rFonts w:ascii="Symbol" w:hAnsi="Symbol" w:hint="default"/>
      </w:rPr>
    </w:lvl>
    <w:lvl w:ilvl="7" w:tplc="04090003" w:tentative="1">
      <w:start w:val="1"/>
      <w:numFmt w:val="bullet"/>
      <w:lvlText w:val="o"/>
      <w:lvlJc w:val="left"/>
      <w:pPr>
        <w:tabs>
          <w:tab w:val="num" w:pos="7887"/>
        </w:tabs>
        <w:ind w:left="7887" w:hanging="360"/>
      </w:pPr>
      <w:rPr>
        <w:rFonts w:ascii="Courier New" w:hAnsi="Courier New" w:hint="default"/>
      </w:rPr>
    </w:lvl>
    <w:lvl w:ilvl="8" w:tplc="04090005" w:tentative="1">
      <w:start w:val="1"/>
      <w:numFmt w:val="bullet"/>
      <w:lvlText w:val=""/>
      <w:lvlJc w:val="left"/>
      <w:pPr>
        <w:tabs>
          <w:tab w:val="num" w:pos="8607"/>
        </w:tabs>
        <w:ind w:left="8607" w:hanging="360"/>
      </w:pPr>
      <w:rPr>
        <w:rFonts w:ascii="Wingdings" w:hAnsi="Wingdings" w:hint="default"/>
      </w:rPr>
    </w:lvl>
  </w:abstractNum>
  <w:abstractNum w:abstractNumId="6" w15:restartNumberingAfterBreak="0">
    <w:nsid w:val="3776787B"/>
    <w:multiLevelType w:val="multilevel"/>
    <w:tmpl w:val="54C68EDE"/>
    <w:lvl w:ilvl="0">
      <w:start w:val="1"/>
      <w:numFmt w:val="upperLetter"/>
      <w:pStyle w:val="OLAnnexureHeading"/>
      <w:suff w:val="space"/>
      <w:lvlText w:val="Annexure %1"/>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Restart w:val="0"/>
      <w:suff w:val="nothing"/>
      <w:lvlText w:val="%2"/>
      <w:lvlJc w:val="left"/>
      <w:pPr>
        <w:ind w:left="0" w:firstLine="0"/>
      </w:pPr>
      <w:rPr>
        <w:rFonts w:hint="default"/>
      </w:rPr>
    </w:lvl>
    <w:lvl w:ilvl="2">
      <w:start w:val="1"/>
      <w:numFmt w:val="none"/>
      <w:lvlRestart w:val="0"/>
      <w:suff w:val="nothing"/>
      <w:lvlText w:val="%2."/>
      <w:lvlJc w:val="left"/>
      <w:pPr>
        <w:ind w:left="0" w:firstLine="0"/>
      </w:pPr>
      <w:rPr>
        <w:rFonts w:hint="default"/>
      </w:rPr>
    </w:lvl>
    <w:lvl w:ilvl="3">
      <w:start w:val="1"/>
      <w:numFmt w:val="none"/>
      <w:lvlRestart w:val="0"/>
      <w:suff w:val="nothing"/>
      <w:lvlText w:val="%2"/>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hanging="709"/>
      </w:pPr>
      <w:rPr>
        <w:rFonts w:hint="default"/>
      </w:rPr>
    </w:lvl>
    <w:lvl w:ilvl="7">
      <w:start w:val="1"/>
      <w:numFmt w:val="none"/>
      <w:suff w:val="nothing"/>
      <w:lvlText w:val=""/>
      <w:lvlJc w:val="left"/>
      <w:pPr>
        <w:ind w:left="0" w:hanging="709"/>
      </w:pPr>
      <w:rPr>
        <w:rFonts w:hint="default"/>
      </w:rPr>
    </w:lvl>
    <w:lvl w:ilvl="8">
      <w:start w:val="1"/>
      <w:numFmt w:val="none"/>
      <w:lvlRestart w:val="0"/>
      <w:suff w:val="nothing"/>
      <w:lvlText w:val=""/>
      <w:lvlJc w:val="left"/>
      <w:pPr>
        <w:ind w:left="0" w:hanging="709"/>
      </w:pPr>
      <w:rPr>
        <w:rFonts w:hint="default"/>
      </w:rPr>
    </w:lvl>
  </w:abstractNum>
  <w:abstractNum w:abstractNumId="7" w15:restartNumberingAfterBreak="0">
    <w:nsid w:val="3CE26D69"/>
    <w:multiLevelType w:val="hybridMultilevel"/>
    <w:tmpl w:val="7626FDDC"/>
    <w:lvl w:ilvl="0" w:tplc="E40C4D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261AF4"/>
    <w:multiLevelType w:val="multilevel"/>
    <w:tmpl w:val="CFB26F68"/>
    <w:lvl w:ilvl="0">
      <w:start w:val="1"/>
      <w:numFmt w:val="upperLetter"/>
      <w:pStyle w:val="OLBackground1"/>
      <w:lvlText w:val="%1."/>
      <w:lvlJc w:val="left"/>
      <w:pPr>
        <w:tabs>
          <w:tab w:val="num" w:pos="709"/>
        </w:tabs>
        <w:ind w:left="709" w:hanging="709"/>
      </w:pPr>
      <w:rPr>
        <w:rFonts w:ascii="Calibri Light" w:hAnsi="Calibri Light" w:hint="default"/>
        <w:b w:val="0"/>
        <w:bCs w:val="0"/>
        <w:i w:val="0"/>
        <w:iCs w:val="0"/>
        <w:caps w:val="0"/>
        <w:smallCaps w:val="0"/>
        <w:strike w:val="0"/>
        <w:dstrike w:val="0"/>
        <w:outline w:val="0"/>
        <w:shadow w:val="0"/>
        <w:emboss w:val="0"/>
        <w:imprint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OLBackground2"/>
      <w:lvlText w:val="%2."/>
      <w:lvlJc w:val="left"/>
      <w:pPr>
        <w:tabs>
          <w:tab w:val="num" w:pos="1418"/>
        </w:tabs>
        <w:ind w:left="1418" w:hanging="709"/>
      </w:pPr>
      <w:rPr>
        <w:rFonts w:hint="default"/>
      </w:rPr>
    </w:lvl>
    <w:lvl w:ilvl="2">
      <w:start w:val="1"/>
      <w:numFmt w:val="decimal"/>
      <w:pStyle w:val="OLBackground3"/>
      <w:lvlText w:val="%3."/>
      <w:lvlJc w:val="left"/>
      <w:pPr>
        <w:tabs>
          <w:tab w:val="num" w:pos="2126"/>
        </w:tabs>
        <w:ind w:left="2126" w:hanging="708"/>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44A1213A"/>
    <w:multiLevelType w:val="hybridMultilevel"/>
    <w:tmpl w:val="D466C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662149"/>
    <w:multiLevelType w:val="multilevel"/>
    <w:tmpl w:val="7562BFBC"/>
    <w:name w:val="LD_Standard"/>
    <w:lvl w:ilvl="0">
      <w:start w:val="1"/>
      <w:numFmt w:val="none"/>
      <w:pStyle w:val="OLNumber0"/>
      <w:lvlText w:val=""/>
      <w:lvlJc w:val="left"/>
      <w:pPr>
        <w:tabs>
          <w:tab w:val="num" w:pos="0"/>
        </w:tabs>
        <w:ind w:left="0" w:firstLine="0"/>
      </w:pPr>
      <w:rPr>
        <w:rFonts w:hint="default"/>
      </w:rPr>
    </w:lvl>
    <w:lvl w:ilvl="1">
      <w:start w:val="1"/>
      <w:numFmt w:val="decimal"/>
      <w:pStyle w:val="OLNumber1"/>
      <w:lvlText w:val="%2."/>
      <w:lvlJc w:val="left"/>
      <w:pPr>
        <w:tabs>
          <w:tab w:val="num" w:pos="709"/>
        </w:tabs>
        <w:ind w:left="709" w:hanging="709"/>
      </w:pPr>
      <w:rPr>
        <w:rFonts w:hint="default"/>
      </w:rPr>
    </w:lvl>
    <w:lvl w:ilvl="2">
      <w:start w:val="1"/>
      <w:numFmt w:val="decimal"/>
      <w:pStyle w:val="OLNumber2"/>
      <w:lvlText w:val="%2.%3"/>
      <w:lvlJc w:val="left"/>
      <w:pPr>
        <w:tabs>
          <w:tab w:val="num" w:pos="709"/>
        </w:tabs>
        <w:ind w:left="709" w:hanging="709"/>
      </w:pPr>
      <w:rPr>
        <w:rFonts w:hint="default"/>
      </w:rPr>
    </w:lvl>
    <w:lvl w:ilvl="3">
      <w:start w:val="1"/>
      <w:numFmt w:val="lowerLetter"/>
      <w:pStyle w:val="OLNumber3"/>
      <w:lvlText w:val="(%4)"/>
      <w:lvlJc w:val="left"/>
      <w:pPr>
        <w:tabs>
          <w:tab w:val="num" w:pos="1418"/>
        </w:tabs>
        <w:ind w:left="1418" w:hanging="709"/>
      </w:pPr>
      <w:rPr>
        <w:rFonts w:hint="default"/>
      </w:rPr>
    </w:lvl>
    <w:lvl w:ilvl="4">
      <w:start w:val="1"/>
      <w:numFmt w:val="lowerRoman"/>
      <w:pStyle w:val="OLNumber4"/>
      <w:lvlText w:val="(%5)"/>
      <w:lvlJc w:val="left"/>
      <w:pPr>
        <w:tabs>
          <w:tab w:val="num" w:pos="2126"/>
        </w:tabs>
        <w:ind w:left="2126" w:hanging="708"/>
      </w:pPr>
      <w:rPr>
        <w:rFonts w:hint="default"/>
      </w:rPr>
    </w:lvl>
    <w:lvl w:ilvl="5">
      <w:start w:val="1"/>
      <w:numFmt w:val="upperLetter"/>
      <w:pStyle w:val="OLNumber5"/>
      <w:lvlText w:val="(%6)"/>
      <w:lvlJc w:val="left"/>
      <w:pPr>
        <w:tabs>
          <w:tab w:val="num" w:pos="2835"/>
        </w:tabs>
        <w:ind w:left="2835" w:hanging="709"/>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11" w15:restartNumberingAfterBreak="0">
    <w:nsid w:val="5C3A568F"/>
    <w:multiLevelType w:val="multilevel"/>
    <w:tmpl w:val="195EAD30"/>
    <w:name w:val="LD_Standard2"/>
    <w:lvl w:ilvl="0">
      <w:start w:val="1"/>
      <w:numFmt w:val="bullet"/>
      <w:pStyle w:val="OLBullet0"/>
      <w:lvlText w:val=""/>
      <w:lvlJc w:val="left"/>
      <w:pPr>
        <w:tabs>
          <w:tab w:val="num" w:pos="709"/>
        </w:tabs>
        <w:ind w:left="709" w:hanging="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C4FA2"/>
    <w:multiLevelType w:val="hybridMultilevel"/>
    <w:tmpl w:val="760ACFEA"/>
    <w:lvl w:ilvl="0" w:tplc="97DEAB12">
      <w:start w:val="1"/>
      <w:numFmt w:val="bullet"/>
      <w:pStyle w:val="OLBullet5"/>
      <w:lvlText w:val=""/>
      <w:lvlJc w:val="left"/>
      <w:pPr>
        <w:tabs>
          <w:tab w:val="num" w:pos="4253"/>
        </w:tabs>
        <w:ind w:left="4253"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EC3020"/>
    <w:multiLevelType w:val="hybridMultilevel"/>
    <w:tmpl w:val="26EA6054"/>
    <w:name w:val="LD_Standard22"/>
    <w:lvl w:ilvl="0" w:tplc="75BABD78">
      <w:start w:val="1"/>
      <w:numFmt w:val="bullet"/>
      <w:pStyle w:val="OLBullet3"/>
      <w:lvlText w:val=""/>
      <w:lvlJc w:val="left"/>
      <w:pPr>
        <w:tabs>
          <w:tab w:val="num" w:pos="2835"/>
        </w:tabs>
        <w:ind w:left="2835"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4808A9"/>
    <w:multiLevelType w:val="hybridMultilevel"/>
    <w:tmpl w:val="B34CEE42"/>
    <w:lvl w:ilvl="0" w:tplc="2B98D112">
      <w:start w:val="1"/>
      <w:numFmt w:val="bullet"/>
      <w:pStyle w:val="OLBullet1"/>
      <w:lvlText w:val="o"/>
      <w:lvlJc w:val="left"/>
      <w:pPr>
        <w:tabs>
          <w:tab w:val="num" w:pos="1418"/>
        </w:tabs>
        <w:ind w:left="1418" w:hanging="709"/>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84423A"/>
    <w:multiLevelType w:val="multilevel"/>
    <w:tmpl w:val="A3964676"/>
    <w:lvl w:ilvl="0">
      <w:start w:val="1"/>
      <w:numFmt w:val="none"/>
      <w:pStyle w:val="OLSchedule0Heading"/>
      <w:suff w:val="space"/>
      <w:lvlText w:val="Schedule"/>
      <w:lvlJc w:val="left"/>
      <w:pPr>
        <w:ind w:left="0" w:firstLine="0"/>
      </w:pPr>
      <w:rPr>
        <w:rFonts w:ascii="Calibri Light" w:hAnsi="Calibri Light" w:hint="default"/>
        <w:b/>
        <w:bCs w:val="0"/>
        <w:i w:val="0"/>
        <w:iCs w:val="0"/>
        <w:caps/>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LSchedule1"/>
      <w:lvlText w:val="%2."/>
      <w:lvlJc w:val="left"/>
      <w:pPr>
        <w:ind w:left="709" w:hanging="709"/>
      </w:pPr>
      <w:rPr>
        <w:rFonts w:hint="default"/>
      </w:rPr>
    </w:lvl>
    <w:lvl w:ilvl="2">
      <w:start w:val="1"/>
      <w:numFmt w:val="lowerLetter"/>
      <w:pStyle w:val="OLSchedule2"/>
      <w:lvlText w:val="(%3)"/>
      <w:lvlJc w:val="left"/>
      <w:pPr>
        <w:tabs>
          <w:tab w:val="num" w:pos="1418"/>
        </w:tabs>
        <w:ind w:left="1418" w:hanging="709"/>
      </w:pPr>
      <w:rPr>
        <w:rFonts w:hint="default"/>
      </w:rPr>
    </w:lvl>
    <w:lvl w:ilvl="3">
      <w:start w:val="1"/>
      <w:numFmt w:val="lowerRoman"/>
      <w:pStyle w:val="OLSchedule3"/>
      <w:lvlText w:val="(%4)"/>
      <w:lvlJc w:val="left"/>
      <w:pPr>
        <w:tabs>
          <w:tab w:val="num" w:pos="2126"/>
        </w:tabs>
        <w:ind w:left="2126" w:hanging="708"/>
      </w:pPr>
      <w:rPr>
        <w:rFonts w:hint="default"/>
      </w:rPr>
    </w:lvl>
    <w:lvl w:ilvl="4">
      <w:start w:val="1"/>
      <w:numFmt w:val="upperLetter"/>
      <w:pStyle w:val="OLSchedule4"/>
      <w:lvlText w:val="(%5)"/>
      <w:lvlJc w:val="left"/>
      <w:pPr>
        <w:tabs>
          <w:tab w:val="num" w:pos="2835"/>
        </w:tabs>
        <w:ind w:left="2835" w:hanging="709"/>
      </w:pPr>
      <w:rPr>
        <w:rFonts w:hint="default"/>
      </w:rPr>
    </w:lvl>
    <w:lvl w:ilvl="5">
      <w:start w:val="1"/>
      <w:numFmt w:val="none"/>
      <w:lvlRestart w:val="0"/>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846867825">
    <w:abstractNumId w:val="1"/>
  </w:num>
  <w:num w:numId="2" w16cid:durableId="1157653918">
    <w:abstractNumId w:val="3"/>
  </w:num>
  <w:num w:numId="3" w16cid:durableId="1880430304">
    <w:abstractNumId w:val="10"/>
  </w:num>
  <w:num w:numId="4" w16cid:durableId="864632519">
    <w:abstractNumId w:val="11"/>
  </w:num>
  <w:num w:numId="5" w16cid:durableId="205290168">
    <w:abstractNumId w:val="14"/>
  </w:num>
  <w:num w:numId="6" w16cid:durableId="678121993">
    <w:abstractNumId w:val="5"/>
  </w:num>
  <w:num w:numId="7" w16cid:durableId="1236084595">
    <w:abstractNumId w:val="6"/>
  </w:num>
  <w:num w:numId="8" w16cid:durableId="816189055">
    <w:abstractNumId w:val="8"/>
  </w:num>
  <w:num w:numId="9" w16cid:durableId="1248342328">
    <w:abstractNumId w:val="2"/>
  </w:num>
  <w:num w:numId="10" w16cid:durableId="2019039101">
    <w:abstractNumId w:val="12"/>
  </w:num>
  <w:num w:numId="11" w16cid:durableId="1443650312">
    <w:abstractNumId w:val="15"/>
  </w:num>
  <w:num w:numId="12" w16cid:durableId="1193032491">
    <w:abstractNumId w:val="13"/>
    <w:lvlOverride w:ilvl="0">
      <w:startOverride w:val="1"/>
    </w:lvlOverride>
  </w:num>
  <w:num w:numId="13" w16cid:durableId="1503545984">
    <w:abstractNumId w:val="9"/>
  </w:num>
  <w:num w:numId="14" w16cid:durableId="1181356716">
    <w:abstractNumId w:val="4"/>
  </w:num>
  <w:num w:numId="15" w16cid:durableId="190002094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149c08fb-2f19-4732-920f-54916b51d765"/>
    <w:docVar w:name="ndGeneratedStamp" w:val="3458-5540-2512, v. 1"/>
    <w:docVar w:name="ndGeneratedStampLocation" w:val="ExceptFirst"/>
  </w:docVars>
  <w:rsids>
    <w:rsidRoot w:val="0016075A"/>
    <w:rsid w:val="00012589"/>
    <w:rsid w:val="000309D7"/>
    <w:rsid w:val="00032FD7"/>
    <w:rsid w:val="000412C0"/>
    <w:rsid w:val="00045076"/>
    <w:rsid w:val="00055C7F"/>
    <w:rsid w:val="00057529"/>
    <w:rsid w:val="0006038A"/>
    <w:rsid w:val="00080045"/>
    <w:rsid w:val="000837FB"/>
    <w:rsid w:val="000918DC"/>
    <w:rsid w:val="00097156"/>
    <w:rsid w:val="000E2234"/>
    <w:rsid w:val="000E6FA8"/>
    <w:rsid w:val="000F2E85"/>
    <w:rsid w:val="000F3AE2"/>
    <w:rsid w:val="00127B7A"/>
    <w:rsid w:val="00127E95"/>
    <w:rsid w:val="00132BEF"/>
    <w:rsid w:val="001343EB"/>
    <w:rsid w:val="00136482"/>
    <w:rsid w:val="0014433B"/>
    <w:rsid w:val="00145A27"/>
    <w:rsid w:val="00151546"/>
    <w:rsid w:val="0016075A"/>
    <w:rsid w:val="0018571D"/>
    <w:rsid w:val="001A0D4F"/>
    <w:rsid w:val="001A1841"/>
    <w:rsid w:val="001C03AA"/>
    <w:rsid w:val="001D0895"/>
    <w:rsid w:val="001D7ABB"/>
    <w:rsid w:val="001E3675"/>
    <w:rsid w:val="001E6107"/>
    <w:rsid w:val="001E6C2B"/>
    <w:rsid w:val="001F1461"/>
    <w:rsid w:val="00221C82"/>
    <w:rsid w:val="00232E14"/>
    <w:rsid w:val="00235E5D"/>
    <w:rsid w:val="00237721"/>
    <w:rsid w:val="0026069C"/>
    <w:rsid w:val="0026388B"/>
    <w:rsid w:val="00275E6A"/>
    <w:rsid w:val="002815C5"/>
    <w:rsid w:val="00291ED0"/>
    <w:rsid w:val="002920BC"/>
    <w:rsid w:val="002A24B2"/>
    <w:rsid w:val="002A6EF5"/>
    <w:rsid w:val="002B194F"/>
    <w:rsid w:val="002B2C64"/>
    <w:rsid w:val="002B7D9F"/>
    <w:rsid w:val="002E5B50"/>
    <w:rsid w:val="002E693F"/>
    <w:rsid w:val="002E7AAC"/>
    <w:rsid w:val="002F7A43"/>
    <w:rsid w:val="0030219C"/>
    <w:rsid w:val="003067E4"/>
    <w:rsid w:val="003165E0"/>
    <w:rsid w:val="003232A7"/>
    <w:rsid w:val="00326FA1"/>
    <w:rsid w:val="00337117"/>
    <w:rsid w:val="00342272"/>
    <w:rsid w:val="00360780"/>
    <w:rsid w:val="003638C1"/>
    <w:rsid w:val="0037397E"/>
    <w:rsid w:val="003930BF"/>
    <w:rsid w:val="003947A3"/>
    <w:rsid w:val="003A18A1"/>
    <w:rsid w:val="003B3058"/>
    <w:rsid w:val="003B4104"/>
    <w:rsid w:val="003E3143"/>
    <w:rsid w:val="003F76E6"/>
    <w:rsid w:val="00401F13"/>
    <w:rsid w:val="00402C86"/>
    <w:rsid w:val="004043FD"/>
    <w:rsid w:val="00414E76"/>
    <w:rsid w:val="004155B9"/>
    <w:rsid w:val="004224D1"/>
    <w:rsid w:val="00427549"/>
    <w:rsid w:val="00431D6E"/>
    <w:rsid w:val="00432872"/>
    <w:rsid w:val="00435E0C"/>
    <w:rsid w:val="00446B18"/>
    <w:rsid w:val="00464C11"/>
    <w:rsid w:val="00467872"/>
    <w:rsid w:val="004821D0"/>
    <w:rsid w:val="00497F5F"/>
    <w:rsid w:val="004C153B"/>
    <w:rsid w:val="004C6A96"/>
    <w:rsid w:val="004D2047"/>
    <w:rsid w:val="004E3D27"/>
    <w:rsid w:val="004E48A6"/>
    <w:rsid w:val="0050577A"/>
    <w:rsid w:val="00505905"/>
    <w:rsid w:val="00545C13"/>
    <w:rsid w:val="0054637A"/>
    <w:rsid w:val="00555760"/>
    <w:rsid w:val="0056290E"/>
    <w:rsid w:val="005657AD"/>
    <w:rsid w:val="005A16C5"/>
    <w:rsid w:val="005A1990"/>
    <w:rsid w:val="005A2236"/>
    <w:rsid w:val="005B3425"/>
    <w:rsid w:val="005B49B0"/>
    <w:rsid w:val="005C2A0F"/>
    <w:rsid w:val="005C2D50"/>
    <w:rsid w:val="005D2624"/>
    <w:rsid w:val="005E0342"/>
    <w:rsid w:val="005E0F09"/>
    <w:rsid w:val="005E77A1"/>
    <w:rsid w:val="005F1FE9"/>
    <w:rsid w:val="005F4E1C"/>
    <w:rsid w:val="00601A82"/>
    <w:rsid w:val="0061098F"/>
    <w:rsid w:val="00624A22"/>
    <w:rsid w:val="00624C2B"/>
    <w:rsid w:val="00633E54"/>
    <w:rsid w:val="0063564F"/>
    <w:rsid w:val="00650BDF"/>
    <w:rsid w:val="00650FDB"/>
    <w:rsid w:val="006611A4"/>
    <w:rsid w:val="0066458D"/>
    <w:rsid w:val="00665D72"/>
    <w:rsid w:val="00667111"/>
    <w:rsid w:val="00673AA4"/>
    <w:rsid w:val="00686D79"/>
    <w:rsid w:val="00697D51"/>
    <w:rsid w:val="006A6350"/>
    <w:rsid w:val="006A695C"/>
    <w:rsid w:val="006A7C89"/>
    <w:rsid w:val="006B1F97"/>
    <w:rsid w:val="006C5DC2"/>
    <w:rsid w:val="006D4FED"/>
    <w:rsid w:val="006F3E93"/>
    <w:rsid w:val="006F4CBC"/>
    <w:rsid w:val="0073591C"/>
    <w:rsid w:val="00747257"/>
    <w:rsid w:val="007624FE"/>
    <w:rsid w:val="00765424"/>
    <w:rsid w:val="00767699"/>
    <w:rsid w:val="00767C0F"/>
    <w:rsid w:val="007817F7"/>
    <w:rsid w:val="007A29AA"/>
    <w:rsid w:val="007A76C4"/>
    <w:rsid w:val="007B4921"/>
    <w:rsid w:val="007B6691"/>
    <w:rsid w:val="007C066B"/>
    <w:rsid w:val="007C3A17"/>
    <w:rsid w:val="007C5A6F"/>
    <w:rsid w:val="007C6D0E"/>
    <w:rsid w:val="007D5EBF"/>
    <w:rsid w:val="007E62CD"/>
    <w:rsid w:val="007E7651"/>
    <w:rsid w:val="007F6860"/>
    <w:rsid w:val="007F6BD6"/>
    <w:rsid w:val="00802032"/>
    <w:rsid w:val="00841691"/>
    <w:rsid w:val="00863207"/>
    <w:rsid w:val="00867AFF"/>
    <w:rsid w:val="00872FC6"/>
    <w:rsid w:val="008879F4"/>
    <w:rsid w:val="008A3A01"/>
    <w:rsid w:val="008B6537"/>
    <w:rsid w:val="008C558C"/>
    <w:rsid w:val="008D2A49"/>
    <w:rsid w:val="008E34DF"/>
    <w:rsid w:val="008F0C14"/>
    <w:rsid w:val="008F111E"/>
    <w:rsid w:val="008F3976"/>
    <w:rsid w:val="00904B3F"/>
    <w:rsid w:val="0090699B"/>
    <w:rsid w:val="00910040"/>
    <w:rsid w:val="00910F8A"/>
    <w:rsid w:val="009122D0"/>
    <w:rsid w:val="00913C25"/>
    <w:rsid w:val="00916460"/>
    <w:rsid w:val="0092076B"/>
    <w:rsid w:val="00927630"/>
    <w:rsid w:val="00930A27"/>
    <w:rsid w:val="009435B8"/>
    <w:rsid w:val="00943A5C"/>
    <w:rsid w:val="0095586B"/>
    <w:rsid w:val="00957CE8"/>
    <w:rsid w:val="00965708"/>
    <w:rsid w:val="00971FC3"/>
    <w:rsid w:val="00976B9E"/>
    <w:rsid w:val="00976CFE"/>
    <w:rsid w:val="009816C3"/>
    <w:rsid w:val="00983647"/>
    <w:rsid w:val="0098558A"/>
    <w:rsid w:val="009B5106"/>
    <w:rsid w:val="009C6A95"/>
    <w:rsid w:val="009E6421"/>
    <w:rsid w:val="009F03B0"/>
    <w:rsid w:val="009F43F0"/>
    <w:rsid w:val="009F70CB"/>
    <w:rsid w:val="00A019B5"/>
    <w:rsid w:val="00A04B46"/>
    <w:rsid w:val="00A07556"/>
    <w:rsid w:val="00A13842"/>
    <w:rsid w:val="00A2630E"/>
    <w:rsid w:val="00A311B8"/>
    <w:rsid w:val="00A337A7"/>
    <w:rsid w:val="00A445AE"/>
    <w:rsid w:val="00A46924"/>
    <w:rsid w:val="00A50696"/>
    <w:rsid w:val="00A620F1"/>
    <w:rsid w:val="00A63B55"/>
    <w:rsid w:val="00A73929"/>
    <w:rsid w:val="00A74148"/>
    <w:rsid w:val="00A80E9B"/>
    <w:rsid w:val="00A81C73"/>
    <w:rsid w:val="00A8286B"/>
    <w:rsid w:val="00A929D3"/>
    <w:rsid w:val="00AA11CE"/>
    <w:rsid w:val="00AA4771"/>
    <w:rsid w:val="00AB5D79"/>
    <w:rsid w:val="00AB77F1"/>
    <w:rsid w:val="00AC2854"/>
    <w:rsid w:val="00AC7EFB"/>
    <w:rsid w:val="00AD6375"/>
    <w:rsid w:val="00AF48D1"/>
    <w:rsid w:val="00AF59B0"/>
    <w:rsid w:val="00B27FEE"/>
    <w:rsid w:val="00B36DE3"/>
    <w:rsid w:val="00B4597B"/>
    <w:rsid w:val="00B52E49"/>
    <w:rsid w:val="00B541F0"/>
    <w:rsid w:val="00B71C8B"/>
    <w:rsid w:val="00B76BEB"/>
    <w:rsid w:val="00B7703B"/>
    <w:rsid w:val="00B91BFF"/>
    <w:rsid w:val="00B93E32"/>
    <w:rsid w:val="00BA55C8"/>
    <w:rsid w:val="00BB05E0"/>
    <w:rsid w:val="00BB1A0B"/>
    <w:rsid w:val="00BB4E50"/>
    <w:rsid w:val="00BC2191"/>
    <w:rsid w:val="00BC36DA"/>
    <w:rsid w:val="00BC5CB8"/>
    <w:rsid w:val="00BC6405"/>
    <w:rsid w:val="00BD5F52"/>
    <w:rsid w:val="00BD60B8"/>
    <w:rsid w:val="00BE2BEA"/>
    <w:rsid w:val="00BE4F05"/>
    <w:rsid w:val="00BF0C3B"/>
    <w:rsid w:val="00BF60DE"/>
    <w:rsid w:val="00C02A68"/>
    <w:rsid w:val="00C1168E"/>
    <w:rsid w:val="00C16141"/>
    <w:rsid w:val="00C17428"/>
    <w:rsid w:val="00C22FA8"/>
    <w:rsid w:val="00C42891"/>
    <w:rsid w:val="00C54ECF"/>
    <w:rsid w:val="00C65DFB"/>
    <w:rsid w:val="00C73240"/>
    <w:rsid w:val="00C76606"/>
    <w:rsid w:val="00C925C5"/>
    <w:rsid w:val="00C93A79"/>
    <w:rsid w:val="00C94F3A"/>
    <w:rsid w:val="00CA4CC6"/>
    <w:rsid w:val="00CB4241"/>
    <w:rsid w:val="00CB70CE"/>
    <w:rsid w:val="00CC777A"/>
    <w:rsid w:val="00CD0D14"/>
    <w:rsid w:val="00CE64F8"/>
    <w:rsid w:val="00CF5EB1"/>
    <w:rsid w:val="00D010EE"/>
    <w:rsid w:val="00D04697"/>
    <w:rsid w:val="00D1782C"/>
    <w:rsid w:val="00D20289"/>
    <w:rsid w:val="00D26A8B"/>
    <w:rsid w:val="00D308C7"/>
    <w:rsid w:val="00D451AB"/>
    <w:rsid w:val="00D50CBC"/>
    <w:rsid w:val="00D51E42"/>
    <w:rsid w:val="00D6168A"/>
    <w:rsid w:val="00D63875"/>
    <w:rsid w:val="00D63F92"/>
    <w:rsid w:val="00D70E4F"/>
    <w:rsid w:val="00D87D08"/>
    <w:rsid w:val="00D947F4"/>
    <w:rsid w:val="00DB71A6"/>
    <w:rsid w:val="00DC3E27"/>
    <w:rsid w:val="00E01203"/>
    <w:rsid w:val="00E1166A"/>
    <w:rsid w:val="00E26295"/>
    <w:rsid w:val="00E302BB"/>
    <w:rsid w:val="00E329C0"/>
    <w:rsid w:val="00E331D0"/>
    <w:rsid w:val="00E3688B"/>
    <w:rsid w:val="00E41666"/>
    <w:rsid w:val="00E42036"/>
    <w:rsid w:val="00E727C1"/>
    <w:rsid w:val="00E76A88"/>
    <w:rsid w:val="00E919EF"/>
    <w:rsid w:val="00E94094"/>
    <w:rsid w:val="00EB297D"/>
    <w:rsid w:val="00EC3B43"/>
    <w:rsid w:val="00ED4BAD"/>
    <w:rsid w:val="00ED56A9"/>
    <w:rsid w:val="00ED5964"/>
    <w:rsid w:val="00EF44FE"/>
    <w:rsid w:val="00F03661"/>
    <w:rsid w:val="00F167B9"/>
    <w:rsid w:val="00F259F5"/>
    <w:rsid w:val="00F272DD"/>
    <w:rsid w:val="00F4671F"/>
    <w:rsid w:val="00F55778"/>
    <w:rsid w:val="00F57AD8"/>
    <w:rsid w:val="00F700F7"/>
    <w:rsid w:val="00F7667F"/>
    <w:rsid w:val="00F86C66"/>
    <w:rsid w:val="00F87475"/>
    <w:rsid w:val="00F92A19"/>
    <w:rsid w:val="00FB0DEB"/>
    <w:rsid w:val="00FB1B2E"/>
    <w:rsid w:val="00FB205D"/>
    <w:rsid w:val="00FC24E5"/>
    <w:rsid w:val="00FC3E19"/>
    <w:rsid w:val="00FC4DC2"/>
    <w:rsid w:val="00FD5BB8"/>
    <w:rsid w:val="00FE0CD9"/>
    <w:rsid w:val="00FF0D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FC429"/>
  <w15:chartTrackingRefBased/>
  <w15:docId w15:val="{C9FAB0D2-40B1-4BDA-95AD-30426D10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EBF"/>
    <w:pPr>
      <w:spacing w:after="0" w:line="240" w:lineRule="auto"/>
      <w:jc w:val="both"/>
    </w:pPr>
    <w:rPr>
      <w:rFonts w:ascii="Arial" w:eastAsia="Times New Roman" w:hAnsi="Arial" w:cs="Arial"/>
      <w:sz w:val="20"/>
      <w:szCs w:val="20"/>
    </w:rPr>
  </w:style>
  <w:style w:type="paragraph" w:styleId="Heading1">
    <w:name w:val="heading 1"/>
    <w:aliases w:val="HL"/>
    <w:basedOn w:val="Normal"/>
    <w:next w:val="Normal"/>
    <w:link w:val="Heading1Char"/>
    <w:rsid w:val="007D5EBF"/>
    <w:pPr>
      <w:widowControl w:val="0"/>
      <w:jc w:val="left"/>
      <w:outlineLvl w:val="0"/>
    </w:pPr>
    <w:rPr>
      <w:rFonts w:eastAsiaTheme="majorEastAs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nhideWhenUsed/>
    <w:rsid w:val="0016075A"/>
    <w:pPr>
      <w:tabs>
        <w:tab w:val="center" w:pos="4513"/>
        <w:tab w:val="right" w:pos="9026"/>
      </w:tabs>
    </w:pPr>
  </w:style>
  <w:style w:type="character" w:customStyle="1" w:styleId="HeaderChar">
    <w:name w:val="Header Char"/>
    <w:aliases w:val="HeaderPort Char"/>
    <w:basedOn w:val="DefaultParagraphFont"/>
    <w:link w:val="Header"/>
    <w:rsid w:val="0016075A"/>
  </w:style>
  <w:style w:type="paragraph" w:styleId="Footer">
    <w:name w:val="footer"/>
    <w:basedOn w:val="Normal"/>
    <w:link w:val="FooterChar"/>
    <w:uiPriority w:val="99"/>
    <w:unhideWhenUsed/>
    <w:rsid w:val="0016075A"/>
    <w:pPr>
      <w:tabs>
        <w:tab w:val="center" w:pos="4513"/>
        <w:tab w:val="right" w:pos="9026"/>
      </w:tabs>
    </w:pPr>
  </w:style>
  <w:style w:type="character" w:customStyle="1" w:styleId="FooterChar">
    <w:name w:val="Footer Char"/>
    <w:basedOn w:val="DefaultParagraphFont"/>
    <w:link w:val="Footer"/>
    <w:uiPriority w:val="99"/>
    <w:rsid w:val="0016075A"/>
  </w:style>
  <w:style w:type="table" w:styleId="TableGrid">
    <w:name w:val="Table Grid"/>
    <w:basedOn w:val="TableNormal"/>
    <w:rsid w:val="007D5EB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LNumber0">
    <w:name w:val="OL_Number0"/>
    <w:basedOn w:val="OLNormal"/>
    <w:next w:val="OLNumber1"/>
    <w:rsid w:val="007D5EBF"/>
    <w:pPr>
      <w:keepNext/>
      <w:numPr>
        <w:numId w:val="3"/>
      </w:numPr>
    </w:pPr>
    <w:rPr>
      <w:b/>
      <w:bCs/>
    </w:rPr>
  </w:style>
  <w:style w:type="paragraph" w:customStyle="1" w:styleId="OLNumber1">
    <w:name w:val="OL_Number1"/>
    <w:basedOn w:val="OLNormal"/>
    <w:qFormat/>
    <w:rsid w:val="007D5EBF"/>
    <w:pPr>
      <w:numPr>
        <w:ilvl w:val="1"/>
        <w:numId w:val="3"/>
      </w:numPr>
    </w:pPr>
  </w:style>
  <w:style w:type="paragraph" w:customStyle="1" w:styleId="OLNumber2">
    <w:name w:val="OL_Number2"/>
    <w:basedOn w:val="OLNormal"/>
    <w:qFormat/>
    <w:rsid w:val="007D5EBF"/>
    <w:pPr>
      <w:numPr>
        <w:ilvl w:val="2"/>
        <w:numId w:val="3"/>
      </w:numPr>
    </w:pPr>
  </w:style>
  <w:style w:type="paragraph" w:customStyle="1" w:styleId="OLNumber3">
    <w:name w:val="OL_Number3"/>
    <w:basedOn w:val="OLNormal"/>
    <w:qFormat/>
    <w:rsid w:val="007D5EBF"/>
    <w:pPr>
      <w:numPr>
        <w:ilvl w:val="3"/>
        <w:numId w:val="3"/>
      </w:numPr>
    </w:pPr>
  </w:style>
  <w:style w:type="paragraph" w:customStyle="1" w:styleId="OLNumber4">
    <w:name w:val="OL_Number4"/>
    <w:basedOn w:val="OLNormal"/>
    <w:qFormat/>
    <w:rsid w:val="007D5EBF"/>
    <w:pPr>
      <w:numPr>
        <w:ilvl w:val="4"/>
        <w:numId w:val="3"/>
      </w:numPr>
    </w:pPr>
  </w:style>
  <w:style w:type="paragraph" w:customStyle="1" w:styleId="OLNumber5">
    <w:name w:val="OL_Number5"/>
    <w:basedOn w:val="OLNormal"/>
    <w:qFormat/>
    <w:rsid w:val="007D5EBF"/>
    <w:pPr>
      <w:numPr>
        <w:ilvl w:val="5"/>
        <w:numId w:val="3"/>
      </w:numPr>
    </w:pPr>
  </w:style>
  <w:style w:type="paragraph" w:customStyle="1" w:styleId="OLNumber6">
    <w:name w:val="OL_Number6"/>
    <w:basedOn w:val="Normal"/>
    <w:rsid w:val="0016075A"/>
    <w:pPr>
      <w:numPr>
        <w:ilvl w:val="6"/>
        <w:numId w:val="1"/>
      </w:numPr>
      <w:spacing w:after="240"/>
    </w:pPr>
    <w:rPr>
      <w:rFonts w:eastAsia="MS Mincho"/>
      <w:sz w:val="22"/>
    </w:rPr>
  </w:style>
  <w:style w:type="paragraph" w:customStyle="1" w:styleId="OLNumber7">
    <w:name w:val="OL_Number7"/>
    <w:basedOn w:val="Normal"/>
    <w:rsid w:val="0016075A"/>
    <w:pPr>
      <w:numPr>
        <w:ilvl w:val="7"/>
        <w:numId w:val="1"/>
      </w:numPr>
      <w:spacing w:after="240"/>
    </w:pPr>
    <w:rPr>
      <w:rFonts w:eastAsia="MS Mincho"/>
      <w:sz w:val="22"/>
    </w:rPr>
  </w:style>
  <w:style w:type="paragraph" w:customStyle="1" w:styleId="TableTextB">
    <w:name w:val="Table Text B"/>
    <w:basedOn w:val="Normal"/>
    <w:rsid w:val="0016075A"/>
    <w:pPr>
      <w:overflowPunct w:val="0"/>
      <w:autoSpaceDE w:val="0"/>
      <w:autoSpaceDN w:val="0"/>
      <w:adjustRightInd w:val="0"/>
      <w:spacing w:before="60" w:after="60"/>
      <w:jc w:val="center"/>
    </w:pPr>
    <w:rPr>
      <w:rFonts w:asciiTheme="minorHAnsi" w:hAnsiTheme="minorHAnsi"/>
      <w:b/>
      <w:bCs/>
      <w:sz w:val="22"/>
    </w:rPr>
  </w:style>
  <w:style w:type="paragraph" w:customStyle="1" w:styleId="OLNumberList">
    <w:name w:val="OL_NumberList"/>
    <w:basedOn w:val="Normal"/>
    <w:qFormat/>
    <w:rsid w:val="00401F13"/>
    <w:pPr>
      <w:tabs>
        <w:tab w:val="num" w:pos="709"/>
      </w:tabs>
      <w:spacing w:after="240"/>
      <w:ind w:left="709" w:hanging="709"/>
    </w:pPr>
    <w:rPr>
      <w:rFonts w:eastAsia="MS Mincho"/>
      <w:sz w:val="22"/>
      <w:szCs w:val="24"/>
    </w:rPr>
  </w:style>
  <w:style w:type="paragraph" w:styleId="ListParagraph">
    <w:name w:val="List Paragraph"/>
    <w:basedOn w:val="Normal"/>
    <w:uiPriority w:val="34"/>
    <w:rsid w:val="007D5EBF"/>
    <w:pPr>
      <w:ind w:left="720"/>
      <w:contextualSpacing/>
    </w:pPr>
  </w:style>
  <w:style w:type="paragraph" w:customStyle="1" w:styleId="OLBodyText">
    <w:name w:val="OL_BodyText"/>
    <w:basedOn w:val="OLNormal"/>
    <w:qFormat/>
    <w:rsid w:val="007D5EBF"/>
  </w:style>
  <w:style w:type="character" w:styleId="CommentReference">
    <w:name w:val="annotation reference"/>
    <w:basedOn w:val="DefaultParagraphFont"/>
    <w:uiPriority w:val="99"/>
    <w:semiHidden/>
    <w:unhideWhenUsed/>
    <w:rsid w:val="0018571D"/>
    <w:rPr>
      <w:sz w:val="16"/>
      <w:szCs w:val="16"/>
    </w:rPr>
  </w:style>
  <w:style w:type="paragraph" w:styleId="CommentText">
    <w:name w:val="annotation text"/>
    <w:basedOn w:val="Normal"/>
    <w:link w:val="CommentTextChar"/>
    <w:uiPriority w:val="99"/>
    <w:unhideWhenUsed/>
    <w:rsid w:val="0018571D"/>
  </w:style>
  <w:style w:type="character" w:customStyle="1" w:styleId="CommentTextChar">
    <w:name w:val="Comment Text Char"/>
    <w:basedOn w:val="DefaultParagraphFont"/>
    <w:link w:val="CommentText"/>
    <w:uiPriority w:val="99"/>
    <w:rsid w:val="0018571D"/>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8571D"/>
    <w:rPr>
      <w:b/>
      <w:bCs/>
    </w:rPr>
  </w:style>
  <w:style w:type="character" w:customStyle="1" w:styleId="CommentSubjectChar">
    <w:name w:val="Comment Subject Char"/>
    <w:basedOn w:val="CommentTextChar"/>
    <w:link w:val="CommentSubject"/>
    <w:uiPriority w:val="99"/>
    <w:semiHidden/>
    <w:rsid w:val="0018571D"/>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1857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71D"/>
    <w:rPr>
      <w:rFonts w:ascii="Segoe UI" w:eastAsia="Times New Roman" w:hAnsi="Segoe UI" w:cs="Segoe UI"/>
      <w:sz w:val="18"/>
      <w:szCs w:val="18"/>
      <w:lang w:val="en-US"/>
    </w:rPr>
  </w:style>
  <w:style w:type="paragraph" w:styleId="Revision">
    <w:name w:val="Revision"/>
    <w:hidden/>
    <w:uiPriority w:val="99"/>
    <w:semiHidden/>
    <w:rsid w:val="00A73929"/>
    <w:pPr>
      <w:spacing w:after="0" w:line="240" w:lineRule="auto"/>
    </w:pPr>
    <w:rPr>
      <w:rFonts w:ascii="Arial" w:eastAsia="Times New Roman" w:hAnsi="Arial" w:cs="Times New Roman"/>
      <w:sz w:val="20"/>
      <w:szCs w:val="20"/>
      <w:lang w:val="en-US"/>
    </w:rPr>
  </w:style>
  <w:style w:type="table" w:customStyle="1" w:styleId="TableGrid1">
    <w:name w:val="Table Grid1"/>
    <w:basedOn w:val="TableNormal"/>
    <w:next w:val="TableGrid"/>
    <w:uiPriority w:val="59"/>
    <w:rsid w:val="00A73929"/>
    <w:pPr>
      <w:spacing w:after="0" w:line="240" w:lineRule="auto"/>
    </w:pPr>
    <w:rPr>
      <w:rFonts w:ascii="Arial" w:eastAsia="Times New Roman"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24C2B"/>
    <w:rPr>
      <w:color w:val="0563C1" w:themeColor="hyperlink"/>
      <w:u w:val="single"/>
    </w:rPr>
  </w:style>
  <w:style w:type="character" w:styleId="UnresolvedMention">
    <w:name w:val="Unresolved Mention"/>
    <w:basedOn w:val="DefaultParagraphFont"/>
    <w:uiPriority w:val="99"/>
    <w:semiHidden/>
    <w:unhideWhenUsed/>
    <w:rsid w:val="00624C2B"/>
    <w:rPr>
      <w:color w:val="605E5C"/>
      <w:shd w:val="clear" w:color="auto" w:fill="E1DFDD"/>
    </w:rPr>
  </w:style>
  <w:style w:type="character" w:customStyle="1" w:styleId="Heading1Char">
    <w:name w:val="Heading 1 Char"/>
    <w:aliases w:val="HL Char"/>
    <w:basedOn w:val="DefaultParagraphFont"/>
    <w:link w:val="Heading1"/>
    <w:rsid w:val="007D5EBF"/>
    <w:rPr>
      <w:rFonts w:ascii="Calibri Light" w:eastAsiaTheme="majorEastAsia" w:hAnsi="Calibri Light" w:cstheme="majorBidi"/>
      <w:szCs w:val="32"/>
    </w:rPr>
  </w:style>
  <w:style w:type="paragraph" w:customStyle="1" w:styleId="OLBullet0">
    <w:name w:val="OL_Bullet0"/>
    <w:basedOn w:val="OLNormal"/>
    <w:qFormat/>
    <w:rsid w:val="007D5EBF"/>
    <w:pPr>
      <w:numPr>
        <w:numId w:val="4"/>
      </w:numPr>
    </w:pPr>
    <w:rPr>
      <w:szCs w:val="24"/>
    </w:rPr>
  </w:style>
  <w:style w:type="paragraph" w:customStyle="1" w:styleId="OLHeading">
    <w:name w:val="OL_Heading"/>
    <w:basedOn w:val="Normal"/>
    <w:next w:val="OLBodyText"/>
    <w:qFormat/>
    <w:rsid w:val="007D5EBF"/>
    <w:pPr>
      <w:keepNext/>
      <w:keepLines/>
      <w:spacing w:after="240"/>
      <w:jc w:val="left"/>
    </w:pPr>
    <w:rPr>
      <w:b/>
      <w:caps/>
    </w:rPr>
  </w:style>
  <w:style w:type="paragraph" w:customStyle="1" w:styleId="OLSubHeading">
    <w:name w:val="OL_SubHeading"/>
    <w:basedOn w:val="Normal"/>
    <w:next w:val="OLBodyText"/>
    <w:qFormat/>
    <w:rsid w:val="007D5EBF"/>
    <w:pPr>
      <w:keepNext/>
      <w:keepLines/>
      <w:spacing w:after="240"/>
      <w:jc w:val="left"/>
    </w:pPr>
    <w:rPr>
      <w:b/>
    </w:rPr>
  </w:style>
  <w:style w:type="paragraph" w:customStyle="1" w:styleId="OLBullet1">
    <w:name w:val="OL_Bullet1"/>
    <w:basedOn w:val="OLNormal"/>
    <w:qFormat/>
    <w:rsid w:val="007D5EBF"/>
    <w:pPr>
      <w:numPr>
        <w:numId w:val="5"/>
      </w:numPr>
    </w:pPr>
    <w:rPr>
      <w:szCs w:val="24"/>
    </w:rPr>
  </w:style>
  <w:style w:type="paragraph" w:customStyle="1" w:styleId="OLBullet2">
    <w:name w:val="OL_Bullet2"/>
    <w:basedOn w:val="OLNormal"/>
    <w:qFormat/>
    <w:rsid w:val="007D5EBF"/>
    <w:pPr>
      <w:numPr>
        <w:numId w:val="6"/>
      </w:numPr>
    </w:pPr>
    <w:rPr>
      <w:szCs w:val="24"/>
    </w:rPr>
  </w:style>
  <w:style w:type="paragraph" w:customStyle="1" w:styleId="OLListPara">
    <w:name w:val="OL_ListPara"/>
    <w:basedOn w:val="Normal"/>
    <w:rsid w:val="007D5EBF"/>
    <w:pPr>
      <w:numPr>
        <w:numId w:val="2"/>
      </w:numPr>
      <w:spacing w:after="120"/>
    </w:pPr>
    <w:rPr>
      <w:szCs w:val="24"/>
    </w:rPr>
  </w:style>
  <w:style w:type="paragraph" w:customStyle="1" w:styleId="OLNormal">
    <w:name w:val="OL_Normal"/>
    <w:basedOn w:val="Normal"/>
    <w:qFormat/>
    <w:rsid w:val="007D5EBF"/>
    <w:pPr>
      <w:spacing w:after="240"/>
    </w:pPr>
  </w:style>
  <w:style w:type="paragraph" w:customStyle="1" w:styleId="OLNumber0NoNum">
    <w:name w:val="OL_Number0_NoNum"/>
    <w:basedOn w:val="OLNumber0"/>
    <w:next w:val="OLNumber1"/>
    <w:rsid w:val="007D5EBF"/>
    <w:pPr>
      <w:numPr>
        <w:numId w:val="0"/>
      </w:numPr>
    </w:pPr>
  </w:style>
  <w:style w:type="paragraph" w:customStyle="1" w:styleId="OLIndent1">
    <w:name w:val="OL_Indent1"/>
    <w:basedOn w:val="OLNormal"/>
    <w:qFormat/>
    <w:rsid w:val="007D5EBF"/>
    <w:pPr>
      <w:ind w:left="709"/>
    </w:pPr>
  </w:style>
  <w:style w:type="paragraph" w:customStyle="1" w:styleId="OLIndent2">
    <w:name w:val="OL_Indent2"/>
    <w:basedOn w:val="OLNormal"/>
    <w:qFormat/>
    <w:rsid w:val="007D5EBF"/>
    <w:pPr>
      <w:ind w:left="1418"/>
    </w:pPr>
  </w:style>
  <w:style w:type="paragraph" w:customStyle="1" w:styleId="OLIndent3">
    <w:name w:val="OL_Indent3"/>
    <w:basedOn w:val="OLNormal"/>
    <w:qFormat/>
    <w:rsid w:val="007D5EBF"/>
    <w:pPr>
      <w:ind w:left="2126"/>
    </w:pPr>
  </w:style>
  <w:style w:type="paragraph" w:customStyle="1" w:styleId="OLNumber1B">
    <w:name w:val="OL_Number1B"/>
    <w:basedOn w:val="OLNumber1"/>
    <w:next w:val="OLNumber2"/>
    <w:qFormat/>
    <w:rsid w:val="007D5EBF"/>
    <w:pPr>
      <w:keepNext/>
    </w:pPr>
    <w:rPr>
      <w:b/>
      <w:caps/>
    </w:rPr>
  </w:style>
  <w:style w:type="paragraph" w:customStyle="1" w:styleId="OLNumber2B">
    <w:name w:val="OL_Number2B"/>
    <w:basedOn w:val="OLNumber2"/>
    <w:next w:val="OLIndent1"/>
    <w:qFormat/>
    <w:rsid w:val="007D5EBF"/>
    <w:pPr>
      <w:keepNext/>
    </w:pPr>
    <w:rPr>
      <w:b/>
    </w:rPr>
  </w:style>
  <w:style w:type="paragraph" w:customStyle="1" w:styleId="OLNumber3B">
    <w:name w:val="OL_Number3B"/>
    <w:basedOn w:val="OLNumber3"/>
    <w:next w:val="OLIndent2"/>
    <w:qFormat/>
    <w:rsid w:val="007D5EBF"/>
    <w:pPr>
      <w:keepNext/>
    </w:pPr>
    <w:rPr>
      <w:b/>
    </w:rPr>
  </w:style>
  <w:style w:type="paragraph" w:customStyle="1" w:styleId="OLQuote">
    <w:name w:val="OL_Quote"/>
    <w:basedOn w:val="OLNormal"/>
    <w:qFormat/>
    <w:rsid w:val="007D5EBF"/>
    <w:pPr>
      <w:ind w:left="851" w:right="851"/>
    </w:pPr>
  </w:style>
  <w:style w:type="paragraph" w:customStyle="1" w:styleId="OLAnnexureHeading">
    <w:name w:val="OL_AnnexureHeading"/>
    <w:basedOn w:val="OLNormal"/>
    <w:next w:val="OLBodyText"/>
    <w:qFormat/>
    <w:rsid w:val="007D5EBF"/>
    <w:pPr>
      <w:pageBreakBefore/>
      <w:widowControl w:val="0"/>
      <w:numPr>
        <w:numId w:val="7"/>
      </w:numPr>
      <w:jc w:val="left"/>
      <w:outlineLvl w:val="0"/>
    </w:pPr>
    <w:rPr>
      <w:rFonts w:eastAsia="Arial"/>
      <w:b/>
      <w:szCs w:val="22"/>
    </w:rPr>
  </w:style>
  <w:style w:type="paragraph" w:customStyle="1" w:styleId="OLBackground1">
    <w:name w:val="OL_Background1"/>
    <w:basedOn w:val="OLNormal"/>
    <w:qFormat/>
    <w:rsid w:val="007D5EBF"/>
    <w:pPr>
      <w:widowControl w:val="0"/>
      <w:numPr>
        <w:numId w:val="8"/>
      </w:numPr>
    </w:pPr>
    <w:rPr>
      <w:rFonts w:eastAsia="Arial"/>
      <w:szCs w:val="21"/>
    </w:rPr>
  </w:style>
  <w:style w:type="paragraph" w:customStyle="1" w:styleId="OLBackground2">
    <w:name w:val="OL_Background2"/>
    <w:basedOn w:val="OLNormal"/>
    <w:qFormat/>
    <w:rsid w:val="007D5EBF"/>
    <w:pPr>
      <w:widowControl w:val="0"/>
      <w:numPr>
        <w:ilvl w:val="1"/>
        <w:numId w:val="8"/>
      </w:numPr>
      <w:jc w:val="left"/>
    </w:pPr>
    <w:rPr>
      <w:rFonts w:eastAsia="Arial"/>
      <w:szCs w:val="21"/>
    </w:rPr>
  </w:style>
  <w:style w:type="paragraph" w:customStyle="1" w:styleId="OLBackground3">
    <w:name w:val="OL_Background3"/>
    <w:basedOn w:val="OLNormal"/>
    <w:qFormat/>
    <w:rsid w:val="007D5EBF"/>
    <w:pPr>
      <w:widowControl w:val="0"/>
      <w:numPr>
        <w:ilvl w:val="2"/>
        <w:numId w:val="8"/>
      </w:numPr>
      <w:jc w:val="left"/>
    </w:pPr>
    <w:rPr>
      <w:rFonts w:eastAsia="Arial"/>
      <w:szCs w:val="21"/>
    </w:rPr>
  </w:style>
  <w:style w:type="paragraph" w:customStyle="1" w:styleId="OLBullet3">
    <w:name w:val="OL_Bullet3"/>
    <w:basedOn w:val="OLNormal"/>
    <w:qFormat/>
    <w:rsid w:val="007D5EBF"/>
    <w:pPr>
      <w:numPr>
        <w:numId w:val="12"/>
      </w:numPr>
    </w:pPr>
  </w:style>
  <w:style w:type="paragraph" w:customStyle="1" w:styleId="OLBullet4">
    <w:name w:val="OL_Bullet4"/>
    <w:basedOn w:val="OLNormal"/>
    <w:qFormat/>
    <w:rsid w:val="007D5EBF"/>
    <w:pPr>
      <w:numPr>
        <w:numId w:val="9"/>
      </w:numPr>
    </w:pPr>
  </w:style>
  <w:style w:type="paragraph" w:customStyle="1" w:styleId="OLBullet5">
    <w:name w:val="OL_Bullet5"/>
    <w:basedOn w:val="OLNormal"/>
    <w:rsid w:val="007D5EBF"/>
    <w:pPr>
      <w:numPr>
        <w:numId w:val="10"/>
      </w:numPr>
    </w:pPr>
  </w:style>
  <w:style w:type="paragraph" w:customStyle="1" w:styleId="OLSchedule0Heading">
    <w:name w:val="OL_Schedule0_Heading"/>
    <w:basedOn w:val="OLNormal"/>
    <w:next w:val="OLBodyText"/>
    <w:qFormat/>
    <w:rsid w:val="007D5EBF"/>
    <w:pPr>
      <w:keepNext/>
      <w:pageBreakBefore/>
      <w:widowControl w:val="0"/>
      <w:numPr>
        <w:numId w:val="11"/>
      </w:numPr>
      <w:jc w:val="left"/>
      <w:outlineLvl w:val="0"/>
    </w:pPr>
    <w:rPr>
      <w:rFonts w:eastAsia="Arial"/>
      <w:b/>
      <w:caps/>
      <w:szCs w:val="22"/>
    </w:rPr>
  </w:style>
  <w:style w:type="paragraph" w:customStyle="1" w:styleId="OLSchedule1">
    <w:name w:val="OL_Schedule1"/>
    <w:basedOn w:val="OLNormal"/>
    <w:qFormat/>
    <w:rsid w:val="00F7667F"/>
    <w:pPr>
      <w:keepNext/>
      <w:widowControl w:val="0"/>
      <w:numPr>
        <w:ilvl w:val="1"/>
        <w:numId w:val="11"/>
      </w:numPr>
      <w:tabs>
        <w:tab w:val="left" w:pos="284"/>
      </w:tabs>
      <w:spacing w:before="60" w:after="60"/>
      <w:ind w:left="284" w:hanging="284"/>
      <w:jc w:val="left"/>
      <w:outlineLvl w:val="1"/>
    </w:pPr>
    <w:rPr>
      <w:rFonts w:eastAsia="Arial"/>
      <w:szCs w:val="21"/>
    </w:rPr>
  </w:style>
  <w:style w:type="paragraph" w:customStyle="1" w:styleId="OLSchedule2">
    <w:name w:val="OL_Schedule2"/>
    <w:basedOn w:val="OLNormal"/>
    <w:qFormat/>
    <w:rsid w:val="007D5EBF"/>
    <w:pPr>
      <w:widowControl w:val="0"/>
      <w:numPr>
        <w:ilvl w:val="2"/>
        <w:numId w:val="11"/>
      </w:numPr>
    </w:pPr>
    <w:rPr>
      <w:rFonts w:eastAsia="Arial"/>
      <w:szCs w:val="21"/>
    </w:rPr>
  </w:style>
  <w:style w:type="paragraph" w:customStyle="1" w:styleId="OLSchedule3">
    <w:name w:val="OL_Schedule3"/>
    <w:basedOn w:val="OLNormal"/>
    <w:qFormat/>
    <w:rsid w:val="007D5EBF"/>
    <w:pPr>
      <w:widowControl w:val="0"/>
      <w:numPr>
        <w:ilvl w:val="3"/>
        <w:numId w:val="11"/>
      </w:numPr>
    </w:pPr>
    <w:rPr>
      <w:rFonts w:eastAsia="Arial"/>
      <w:szCs w:val="21"/>
    </w:rPr>
  </w:style>
  <w:style w:type="paragraph" w:customStyle="1" w:styleId="OLSchedule4">
    <w:name w:val="OL_Schedule4"/>
    <w:basedOn w:val="OLNormal"/>
    <w:qFormat/>
    <w:rsid w:val="007D5EBF"/>
    <w:pPr>
      <w:numPr>
        <w:ilvl w:val="4"/>
        <w:numId w:val="11"/>
      </w:numPr>
    </w:pPr>
  </w:style>
  <w:style w:type="paragraph" w:customStyle="1" w:styleId="OLNumber1BU">
    <w:name w:val="OL_Number1BU"/>
    <w:basedOn w:val="OLNumber1B"/>
    <w:next w:val="OLNumber2"/>
    <w:qFormat/>
    <w:rsid w:val="007D5EBF"/>
    <w:pPr>
      <w:pBdr>
        <w:bottom w:val="single" w:sz="4" w:space="1" w:color="auto"/>
      </w:pBdr>
    </w:pPr>
  </w:style>
  <w:style w:type="paragraph" w:customStyle="1" w:styleId="OLIndent4">
    <w:name w:val="OL_Indent4"/>
    <w:basedOn w:val="OLNormal"/>
    <w:qFormat/>
    <w:rsid w:val="007D5EBF"/>
    <w:pPr>
      <w:tabs>
        <w:tab w:val="left" w:pos="2410"/>
      </w:tabs>
      <w:ind w:left="2835"/>
    </w:pPr>
  </w:style>
  <w:style w:type="paragraph" w:customStyle="1" w:styleId="OLTableText">
    <w:name w:val="OL_TableText"/>
    <w:basedOn w:val="OLNormal"/>
    <w:qFormat/>
    <w:rsid w:val="007D5EBF"/>
    <w:pPr>
      <w:spacing w:before="60" w:after="60"/>
      <w:jc w:val="left"/>
    </w:pPr>
  </w:style>
  <w:style w:type="paragraph" w:customStyle="1" w:styleId="OLFormTop">
    <w:name w:val="OL_FormTop"/>
    <w:basedOn w:val="OLNormal"/>
    <w:qFormat/>
    <w:rsid w:val="0095586B"/>
    <w:pPr>
      <w:jc w:val="left"/>
    </w:pPr>
    <w:rPr>
      <w:sz w:val="28"/>
    </w:rPr>
  </w:style>
  <w:style w:type="paragraph" w:customStyle="1" w:styleId="OLHeadingTitle1">
    <w:name w:val="OL_Heading_Title1"/>
    <w:basedOn w:val="OLNormal"/>
    <w:qFormat/>
    <w:rsid w:val="007D5EBF"/>
    <w:pPr>
      <w:jc w:val="right"/>
    </w:pPr>
    <w:rPr>
      <w:caps/>
      <w:color w:val="808080" w:themeColor="background1" w:themeShade="80"/>
      <w:sz w:val="44"/>
    </w:rPr>
  </w:style>
  <w:style w:type="paragraph" w:customStyle="1" w:styleId="OLHeadingTitle2">
    <w:name w:val="OL_Heading_Title2"/>
    <w:basedOn w:val="OLHeadingTitle1"/>
    <w:rsid w:val="007D5EBF"/>
    <w:rPr>
      <w:sz w:val="32"/>
    </w:rPr>
  </w:style>
  <w:style w:type="paragraph" w:customStyle="1" w:styleId="OLNormal0">
    <w:name w:val="OL_Normal0"/>
    <w:basedOn w:val="OLNormal"/>
    <w:rsid w:val="007D5EBF"/>
    <w:pPr>
      <w:spacing w:after="0"/>
    </w:pPr>
  </w:style>
  <w:style w:type="paragraph" w:customStyle="1" w:styleId="Default">
    <w:name w:val="Default"/>
    <w:rsid w:val="00E4203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3947A3"/>
    <w:pPr>
      <w:widowControl w:val="0"/>
      <w:autoSpaceDE w:val="0"/>
      <w:autoSpaceDN w:val="0"/>
      <w:jc w:val="left"/>
    </w:pPr>
    <w:rPr>
      <w:rFonts w:ascii="Arial MT" w:eastAsia="Arial MT" w:hAnsi="Arial MT" w:cs="Arial MT"/>
      <w:lang w:val="en-US"/>
    </w:rPr>
  </w:style>
  <w:style w:type="character" w:customStyle="1" w:styleId="BodyTextChar">
    <w:name w:val="Body Text Char"/>
    <w:basedOn w:val="DefaultParagraphFont"/>
    <w:link w:val="BodyText"/>
    <w:uiPriority w:val="1"/>
    <w:rsid w:val="003947A3"/>
    <w:rPr>
      <w:rFonts w:ascii="Arial MT" w:eastAsia="Arial MT" w:hAnsi="Arial MT" w:cs="Arial MT"/>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6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tender@etheridge.qld.gov.au"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tender@etheridge.qld.gov.au" TargetMode="External"/><Relationship Id="rId2" Type="http://schemas.openxmlformats.org/officeDocument/2006/relationships/customXml" Target="../customXml/item1.xml"/><Relationship Id="rId16" Type="http://schemas.openxmlformats.org/officeDocument/2006/relationships/hyperlink" Target="mailto:tender@etheridge.qld.gov.au"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A440-588C-4444-8862-BA8DF5E5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Helix Legal</dc:creator>
  <cp:keywords/>
  <dc:description/>
  <cp:lastModifiedBy>Raju Ranjit</cp:lastModifiedBy>
  <cp:revision>2</cp:revision>
  <cp:lastPrinted>2024-07-19T23:21:00Z</cp:lastPrinted>
  <dcterms:created xsi:type="dcterms:W3CDTF">2024-11-22T05:03:00Z</dcterms:created>
  <dcterms:modified xsi:type="dcterms:W3CDTF">2024-11-22T05:03:00Z</dcterms:modified>
</cp:coreProperties>
</file>